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D8A3" w14:textId="77777777" w:rsidR="00F7196C" w:rsidRPr="00DF39ED" w:rsidRDefault="00F7196C">
      <w:pPr>
        <w:rPr>
          <w:rFonts w:asciiTheme="majorHAnsi" w:hAnsiTheme="majorHAnsi"/>
        </w:rPr>
      </w:pPr>
      <w:bookmarkStart w:id="0" w:name="_GoBack"/>
      <w:bookmarkEnd w:id="0"/>
    </w:p>
    <w:p w14:paraId="47CFDCBA" w14:textId="255ADE56" w:rsidR="009937A1" w:rsidRPr="00DF39ED" w:rsidRDefault="00B450BF">
      <w:pPr>
        <w:rPr>
          <w:rFonts w:asciiTheme="majorHAnsi" w:hAnsiTheme="majorHAnsi"/>
          <w:b/>
          <w:sz w:val="32"/>
          <w:szCs w:val="32"/>
        </w:rPr>
      </w:pPr>
      <w:r w:rsidRPr="00DF39ED">
        <w:rPr>
          <w:rFonts w:asciiTheme="majorHAnsi" w:hAnsiTheme="majorHAnsi"/>
          <w:b/>
          <w:sz w:val="32"/>
          <w:szCs w:val="32"/>
          <w:u w:val="single"/>
        </w:rPr>
        <w:t>TITLE</w:t>
      </w:r>
      <w:r w:rsidR="00F23A37" w:rsidRPr="00DF39ED">
        <w:rPr>
          <w:rFonts w:asciiTheme="majorHAnsi" w:hAnsiTheme="majorHAnsi"/>
          <w:b/>
          <w:sz w:val="32"/>
          <w:szCs w:val="32"/>
        </w:rPr>
        <w:t xml:space="preserve">:  </w:t>
      </w:r>
      <w:r w:rsidR="00375348" w:rsidRPr="00DF39ED">
        <w:rPr>
          <w:rFonts w:asciiTheme="majorHAnsi" w:hAnsiTheme="majorHAnsi"/>
          <w:b/>
          <w:sz w:val="32"/>
          <w:szCs w:val="32"/>
        </w:rPr>
        <w:t>Characterization of Radionuclides in Analytical Equipment</w:t>
      </w:r>
    </w:p>
    <w:p w14:paraId="211A46B6" w14:textId="77777777" w:rsidR="00C06F51" w:rsidRPr="00DF39ED" w:rsidRDefault="00C06F51" w:rsidP="00E67243">
      <w:pPr>
        <w:pBdr>
          <w:bottom w:val="single" w:sz="4" w:space="1" w:color="auto"/>
        </w:pBdr>
        <w:rPr>
          <w:rFonts w:asciiTheme="majorHAnsi" w:hAnsiTheme="majorHAnsi"/>
        </w:rPr>
      </w:pPr>
    </w:p>
    <w:p w14:paraId="6F4B259E" w14:textId="51392749" w:rsidR="00A74099" w:rsidRPr="00DF39ED" w:rsidRDefault="00A74099" w:rsidP="00AE0972">
      <w:pPr>
        <w:pStyle w:val="Heading1"/>
        <w:rPr>
          <w:color w:val="auto"/>
        </w:rPr>
      </w:pPr>
      <w:r w:rsidRPr="00DF39ED">
        <w:rPr>
          <w:color w:val="auto"/>
        </w:rPr>
        <w:t>POLICY</w:t>
      </w:r>
    </w:p>
    <w:sdt>
      <w:sdtPr>
        <w:rPr>
          <w:rFonts w:asciiTheme="majorHAnsi" w:hAnsiTheme="majorHAnsi"/>
        </w:rPr>
        <w:id w:val="925618495"/>
        <w:placeholder>
          <w:docPart w:val="DefaultPlaceholder_1081868574"/>
        </w:placeholder>
      </w:sdtPr>
      <w:sdtEndPr/>
      <w:sdtContent>
        <w:p w14:paraId="0F14BB15" w14:textId="2A8ED2A2" w:rsidR="00A3460A" w:rsidRPr="00DF39ED" w:rsidRDefault="003A61F0" w:rsidP="0029474D">
          <w:pPr>
            <w:spacing w:before="160"/>
            <w:jc w:val="both"/>
            <w:rPr>
              <w:rFonts w:asciiTheme="majorHAnsi" w:hAnsiTheme="majorHAnsi"/>
            </w:rPr>
          </w:pPr>
          <w:r w:rsidRPr="00DF39ED">
            <w:rPr>
              <w:rFonts w:asciiTheme="majorHAnsi" w:hAnsiTheme="majorHAnsi"/>
            </w:rPr>
            <w:t>Radioactive materials may be characterized in non-radioactive facilities and in non-radioactive labeled equipment when they meet the guidelines set forth in this procedure. Characterization of radioactive material outside the guidelines in this procedure may still be analyzed by the analytical equipment, but will require additional permission from the Radiation Safety Office (RSO).</w:t>
          </w:r>
        </w:p>
      </w:sdtContent>
    </w:sdt>
    <w:p w14:paraId="7E5CB191" w14:textId="18A4F7E9" w:rsidR="00597961" w:rsidRPr="00DF39ED" w:rsidRDefault="00597961" w:rsidP="00AE0972">
      <w:pPr>
        <w:pStyle w:val="Heading1"/>
        <w:rPr>
          <w:color w:val="auto"/>
        </w:rPr>
      </w:pPr>
      <w:r w:rsidRPr="00DF39ED">
        <w:rPr>
          <w:color w:val="auto"/>
        </w:rPr>
        <w:t>PURPOSE</w:t>
      </w:r>
    </w:p>
    <w:sdt>
      <w:sdtPr>
        <w:rPr>
          <w:rFonts w:asciiTheme="majorHAnsi" w:hAnsiTheme="majorHAnsi"/>
        </w:rPr>
        <w:id w:val="258334651"/>
        <w:placeholder>
          <w:docPart w:val="DefaultPlaceholder_1081868574"/>
        </w:placeholder>
      </w:sdtPr>
      <w:sdtEndPr/>
      <w:sdtContent>
        <w:p w14:paraId="3ACBB35F" w14:textId="49109FEA" w:rsidR="006A55EA" w:rsidRPr="00DF39ED" w:rsidRDefault="003A61F0" w:rsidP="00375348">
          <w:pPr>
            <w:spacing w:before="160"/>
            <w:jc w:val="both"/>
            <w:rPr>
              <w:rFonts w:asciiTheme="majorHAnsi" w:hAnsiTheme="majorHAnsi"/>
            </w:rPr>
          </w:pPr>
          <w:r w:rsidRPr="00DF39ED">
            <w:rPr>
              <w:rFonts w:asciiTheme="majorHAnsi" w:hAnsiTheme="majorHAnsi"/>
            </w:rPr>
            <w:t>This procedure provides criteria and specific instructions for the characterization of radionuclides in analytical equipment including electron microscopes; Brunauer–Emmett–Teller particle analyzers, optical, UV-VIS, and IR spectrophotometers; particle and single crystal X-ray diffractometers; X-ray photoelectron spectrometers; nuclear magnetic resonance spectrometers; and mass spectrometers.</w:t>
          </w:r>
        </w:p>
      </w:sdtContent>
    </w:sdt>
    <w:p w14:paraId="5E5AE1A7" w14:textId="797C2E63" w:rsidR="00907BDF" w:rsidRPr="00DF39ED" w:rsidRDefault="006D4DD9" w:rsidP="00AE0972">
      <w:pPr>
        <w:pStyle w:val="Heading1"/>
        <w:rPr>
          <w:color w:val="auto"/>
        </w:rPr>
      </w:pPr>
      <w:r w:rsidRPr="00DF39ED">
        <w:rPr>
          <w:color w:val="auto"/>
        </w:rPr>
        <w:t>DEFINITIONS</w:t>
      </w:r>
    </w:p>
    <w:sdt>
      <w:sdtPr>
        <w:rPr>
          <w:rFonts w:asciiTheme="majorHAnsi" w:hAnsiTheme="majorHAnsi"/>
        </w:rPr>
        <w:id w:val="-1020083075"/>
        <w:placeholder>
          <w:docPart w:val="DefaultPlaceholder_1081868574"/>
        </w:placeholder>
      </w:sdtPr>
      <w:sdtEndPr/>
      <w:sdtContent>
        <w:sdt>
          <w:sdtPr>
            <w:rPr>
              <w:rFonts w:asciiTheme="majorHAnsi" w:hAnsiTheme="majorHAnsi"/>
            </w:rPr>
            <w:id w:val="-364912831"/>
            <w:placeholder>
              <w:docPart w:val="14D4055A18034D63A1508D53B8D347E3"/>
            </w:placeholder>
          </w:sdtPr>
          <w:sdtEndPr/>
          <w:sdtContent>
            <w:p w14:paraId="1B242B76" w14:textId="77777777" w:rsidR="00907BDF" w:rsidRPr="00DF39ED" w:rsidRDefault="00907BDF" w:rsidP="00907BDF">
              <w:pPr>
                <w:numPr>
                  <w:ilvl w:val="0"/>
                  <w:numId w:val="13"/>
                </w:numPr>
                <w:rPr>
                  <w:rFonts w:asciiTheme="majorHAnsi" w:hAnsiTheme="majorHAnsi"/>
                </w:rPr>
              </w:pPr>
              <w:r w:rsidRPr="00DF39ED">
                <w:rPr>
                  <w:rFonts w:asciiTheme="majorHAnsi" w:hAnsiTheme="majorHAnsi"/>
                </w:rPr>
                <w:t>Conveyance: Moving or relocating material from one location to another by physically carrying or using a cart or other non-motorized means.</w:t>
              </w:r>
            </w:p>
            <w:p w14:paraId="6CB11120" w14:textId="52035321" w:rsidR="00907BDF" w:rsidRPr="00DF39ED" w:rsidRDefault="00907BDF" w:rsidP="00907BDF">
              <w:pPr>
                <w:numPr>
                  <w:ilvl w:val="0"/>
                  <w:numId w:val="13"/>
                </w:numPr>
                <w:rPr>
                  <w:rFonts w:asciiTheme="majorHAnsi" w:hAnsiTheme="majorHAnsi"/>
                </w:rPr>
              </w:pPr>
              <w:r w:rsidRPr="00DF39ED">
                <w:rPr>
                  <w:rFonts w:asciiTheme="majorHAnsi" w:hAnsiTheme="majorHAnsi"/>
                </w:rPr>
                <w:t>Transportation: Moving or relocating material from one location to another through motorized means.</w:t>
              </w:r>
            </w:p>
          </w:sdtContent>
        </w:sdt>
      </w:sdtContent>
    </w:sdt>
    <w:p w14:paraId="31EB2326" w14:textId="78953D80" w:rsidR="00907BDF" w:rsidRPr="00DF39ED" w:rsidRDefault="007947BF" w:rsidP="00907BDF">
      <w:pPr>
        <w:pStyle w:val="Heading1"/>
        <w:rPr>
          <w:color w:val="auto"/>
        </w:rPr>
      </w:pPr>
      <w:r w:rsidRPr="00DF39ED">
        <w:rPr>
          <w:color w:val="auto"/>
        </w:rPr>
        <w:t>RESPONSIBILITIES</w:t>
      </w:r>
    </w:p>
    <w:sdt>
      <w:sdtPr>
        <w:rPr>
          <w:color w:val="1F4D78" w:themeColor="accent1" w:themeShade="7F"/>
          <w:sz w:val="24"/>
          <w:szCs w:val="24"/>
        </w:rPr>
        <w:id w:val="1273285804"/>
        <w:placeholder>
          <w:docPart w:val="4BD15E5FF6F9439081B283E655851548"/>
        </w:placeholder>
      </w:sdtPr>
      <w:sdtEndPr/>
      <w:sdtContent>
        <w:sdt>
          <w:sdtPr>
            <w:rPr>
              <w:color w:val="1F4D78" w:themeColor="accent1" w:themeShade="7F"/>
              <w:sz w:val="24"/>
              <w:szCs w:val="24"/>
            </w:rPr>
            <w:id w:val="1227957668"/>
            <w:placeholder>
              <w:docPart w:val="31D6570EE81F4D02B773217ED47DB332"/>
            </w:placeholder>
          </w:sdtPr>
          <w:sdtEndPr/>
          <w:sdtContent>
            <w:p w14:paraId="3A4929FA" w14:textId="77777777" w:rsidR="00907BDF" w:rsidRPr="00DF39ED" w:rsidRDefault="00907BDF" w:rsidP="00D44940">
              <w:pPr>
                <w:pStyle w:val="Heading2"/>
                <w:keepNext w:val="0"/>
                <w:ind w:left="1080" w:hanging="360"/>
                <w:rPr>
                  <w:color w:val="auto"/>
                </w:rPr>
              </w:pPr>
              <w:r w:rsidRPr="00907BDF">
                <w:rPr>
                  <w:color w:val="auto"/>
                </w:rPr>
                <w:t>Responsible User:</w:t>
              </w:r>
            </w:p>
            <w:p w14:paraId="23DC3762" w14:textId="77777777" w:rsidR="00907BDF" w:rsidRPr="00907BDF" w:rsidRDefault="00907BDF" w:rsidP="00D44940">
              <w:pPr>
                <w:pStyle w:val="Heading2"/>
                <w:keepNext w:val="0"/>
                <w:numPr>
                  <w:ilvl w:val="0"/>
                  <w:numId w:val="0"/>
                </w:numPr>
                <w:ind w:left="1080"/>
                <w:rPr>
                  <w:color w:val="auto"/>
                  <w:sz w:val="24"/>
                  <w:szCs w:val="24"/>
                </w:rPr>
              </w:pPr>
              <w:r w:rsidRPr="00907BDF">
                <w:rPr>
                  <w:color w:val="auto"/>
                  <w:sz w:val="24"/>
                  <w:szCs w:val="24"/>
                </w:rPr>
                <w:t>The Responsible User must ensure that:</w:t>
              </w:r>
            </w:p>
            <w:p w14:paraId="52458317" w14:textId="77777777" w:rsidR="00907BDF" w:rsidRPr="00907BDF" w:rsidRDefault="00907BDF" w:rsidP="00D44940">
              <w:pPr>
                <w:pStyle w:val="Heading3"/>
                <w:keepNext w:val="0"/>
                <w:ind w:hanging="360"/>
                <w:rPr>
                  <w:color w:val="auto"/>
                </w:rPr>
              </w:pPr>
              <w:r w:rsidRPr="00907BDF">
                <w:rPr>
                  <w:color w:val="auto"/>
                </w:rPr>
                <w:t>All procedures outlined in RPR 11: Radioisotope Laboratory Safety Procedures are followed by all personnel handling the radionuclides.</w:t>
              </w:r>
            </w:p>
            <w:p w14:paraId="4FC2F70D" w14:textId="62F617CA" w:rsidR="00907BDF" w:rsidRPr="00907BDF" w:rsidRDefault="00907BDF" w:rsidP="00D44940">
              <w:pPr>
                <w:pStyle w:val="Heading3"/>
                <w:keepNext w:val="0"/>
                <w:ind w:hanging="360"/>
                <w:rPr>
                  <w:color w:val="auto"/>
                </w:rPr>
              </w:pPr>
              <w:r w:rsidRPr="00907BDF">
                <w:rPr>
                  <w:color w:val="auto"/>
                </w:rPr>
                <w:t xml:space="preserve">Only radioactive materials that are below the quantity of licensed material requiring labeling (as outlined in NRC Regulations 10 CFR Part 20 – Appendix C) are characterized on the analytical equipment. </w:t>
              </w:r>
              <w:r w:rsidR="009D25C8">
                <w:rPr>
                  <w:color w:val="auto"/>
                </w:rPr>
                <w:t xml:space="preserve"> </w:t>
              </w:r>
              <w:hyperlink w:anchor="Table1" w:history="1">
                <w:r w:rsidR="009D25C8" w:rsidRPr="007C6303">
                  <w:rPr>
                    <w:rStyle w:val="Hyperlink"/>
                  </w:rPr>
                  <w:t>Table 1</w:t>
                </w:r>
              </w:hyperlink>
              <w:r w:rsidR="009D25C8">
                <w:rPr>
                  <w:color w:val="auto"/>
                </w:rPr>
                <w:t xml:space="preserve"> of this document includes the limits of common research radionuclides that can be characterized in non-radiological laboratories on analytical equipment.</w:t>
              </w:r>
            </w:p>
            <w:p w14:paraId="058C8492" w14:textId="77777777" w:rsidR="00907BDF" w:rsidRPr="00907BDF" w:rsidRDefault="00907BDF" w:rsidP="00D44940">
              <w:pPr>
                <w:pStyle w:val="Heading3"/>
                <w:keepNext w:val="0"/>
                <w:ind w:hanging="360"/>
                <w:rPr>
                  <w:color w:val="auto"/>
                </w:rPr>
              </w:pPr>
              <w:r w:rsidRPr="00907BDF">
                <w:rPr>
                  <w:color w:val="auto"/>
                </w:rPr>
                <w:t xml:space="preserve">The integrity of sealed sources shall not be compromised. </w:t>
              </w:r>
            </w:p>
            <w:p w14:paraId="7AC67627" w14:textId="77777777" w:rsidR="00907BDF" w:rsidRPr="00907BDF" w:rsidRDefault="00907BDF" w:rsidP="00D44940">
              <w:pPr>
                <w:pStyle w:val="Heading3"/>
                <w:keepNext w:val="0"/>
                <w:ind w:hanging="360"/>
                <w:rPr>
                  <w:color w:val="auto"/>
                </w:rPr>
              </w:pPr>
              <w:r w:rsidRPr="00907BDF">
                <w:rPr>
                  <w:color w:val="auto"/>
                </w:rPr>
                <w:t>The analytical equipment owner understands and agrees to the risks and conditions of allowing radionuclides to be characterized on the equipment.</w:t>
              </w:r>
            </w:p>
            <w:p w14:paraId="2AAFC150" w14:textId="77777777" w:rsidR="00907BDF" w:rsidRPr="00907BDF" w:rsidRDefault="00907BDF" w:rsidP="00D44940">
              <w:pPr>
                <w:keepLines/>
                <w:numPr>
                  <w:ilvl w:val="1"/>
                  <w:numId w:val="14"/>
                </w:numPr>
                <w:tabs>
                  <w:tab w:val="num" w:pos="360"/>
                </w:tabs>
                <w:spacing w:before="40"/>
                <w:ind w:left="1080" w:hanging="360"/>
                <w:outlineLvl w:val="1"/>
                <w:rPr>
                  <w:rFonts w:asciiTheme="majorHAnsi" w:eastAsiaTheme="majorEastAsia" w:hAnsiTheme="majorHAnsi" w:cstheme="majorBidi"/>
                  <w:sz w:val="26"/>
                  <w:szCs w:val="26"/>
                </w:rPr>
              </w:pPr>
              <w:r w:rsidRPr="00907BDF">
                <w:rPr>
                  <w:rFonts w:asciiTheme="majorHAnsi" w:eastAsiaTheme="majorEastAsia" w:hAnsiTheme="majorHAnsi" w:cstheme="majorBidi"/>
                  <w:sz w:val="26"/>
                  <w:szCs w:val="26"/>
                </w:rPr>
                <w:t>Analytical Equipment Owner:</w:t>
              </w:r>
            </w:p>
            <w:p w14:paraId="3397D961" w14:textId="77777777" w:rsidR="00907BDF" w:rsidRPr="00907BDF" w:rsidRDefault="00907BDF" w:rsidP="00D44940">
              <w:pPr>
                <w:pStyle w:val="Heading2"/>
                <w:keepNext w:val="0"/>
                <w:numPr>
                  <w:ilvl w:val="0"/>
                  <w:numId w:val="0"/>
                </w:numPr>
                <w:ind w:left="1080"/>
                <w:rPr>
                  <w:color w:val="auto"/>
                  <w:sz w:val="24"/>
                  <w:szCs w:val="24"/>
                </w:rPr>
              </w:pPr>
              <w:r w:rsidRPr="00907BDF">
                <w:rPr>
                  <w:color w:val="auto"/>
                  <w:sz w:val="24"/>
                  <w:szCs w:val="24"/>
                </w:rPr>
                <w:t>The Analytical Equipment Owner must ensure that:</w:t>
              </w:r>
            </w:p>
            <w:p w14:paraId="637B245F" w14:textId="77777777" w:rsidR="00907BDF" w:rsidRPr="00907BDF" w:rsidRDefault="00907BDF" w:rsidP="00D44940">
              <w:pPr>
                <w:pStyle w:val="Heading3"/>
                <w:keepNext w:val="0"/>
                <w:ind w:hanging="360"/>
                <w:rPr>
                  <w:color w:val="auto"/>
                </w:rPr>
              </w:pPr>
              <w:r w:rsidRPr="00907BDF">
                <w:rPr>
                  <w:color w:val="auto"/>
                </w:rPr>
                <w:t>No personnel (staff, technicians, etc.) are allowed to handle the radioactive materials unless they are fully authorized by the Radiation Safety Office.</w:t>
              </w:r>
            </w:p>
            <w:p w14:paraId="062F2AF4" w14:textId="77777777" w:rsidR="00907BDF" w:rsidRPr="00907BDF" w:rsidRDefault="00907BDF" w:rsidP="00D44940">
              <w:pPr>
                <w:pStyle w:val="Heading3"/>
                <w:keepNext w:val="0"/>
                <w:ind w:hanging="360"/>
                <w:rPr>
                  <w:color w:val="auto"/>
                </w:rPr>
              </w:pPr>
              <w:r w:rsidRPr="00907BDF">
                <w:rPr>
                  <w:color w:val="auto"/>
                </w:rPr>
                <w:lastRenderedPageBreak/>
                <w:t>If a spill or contamination of the equipment were to occur in which reasonable decontamination efforts are not successful, then the analytical equipment would be labeled as radioactive when the radioactivity exceeded the levels set forth in RPR 10: Radionuclide Data – Table 11.</w:t>
              </w:r>
            </w:p>
            <w:p w14:paraId="5A8F8F55" w14:textId="77777777" w:rsidR="00907BDF" w:rsidRPr="00907BDF" w:rsidRDefault="00907BDF" w:rsidP="00D44940">
              <w:pPr>
                <w:pStyle w:val="Heading3"/>
                <w:keepNext w:val="0"/>
                <w:ind w:hanging="360"/>
                <w:rPr>
                  <w:color w:val="auto"/>
                </w:rPr>
              </w:pPr>
              <w:r w:rsidRPr="00907BDF">
                <w:rPr>
                  <w:color w:val="auto"/>
                </w:rPr>
                <w:t>If the equipment operates under vacuum, then periodic maintenance consisting of replacing the tip seals associated with the scroll type pumps, and replacing the oil in the rotary vane pumps must be completed by a trained radioactive materials user.  Both disposal items (tip seal or waste oil) must be checked for radiation levels. If measured levels are not higher than the background levels of the meter, then they may be disposed of normally. If measured levels of the waste material are above normal background levels, the Radiation Safety Office must be contacted for proper disposal.</w:t>
              </w:r>
            </w:p>
            <w:p w14:paraId="507A8EAA" w14:textId="77777777" w:rsidR="00907BDF" w:rsidRPr="00907BDF" w:rsidRDefault="00907BDF" w:rsidP="00D44940">
              <w:pPr>
                <w:keepLines/>
                <w:numPr>
                  <w:ilvl w:val="1"/>
                  <w:numId w:val="14"/>
                </w:numPr>
                <w:tabs>
                  <w:tab w:val="num" w:pos="360"/>
                </w:tabs>
                <w:spacing w:before="40"/>
                <w:ind w:left="1080" w:hanging="360"/>
                <w:outlineLvl w:val="1"/>
                <w:rPr>
                  <w:rFonts w:asciiTheme="majorHAnsi" w:eastAsiaTheme="majorEastAsia" w:hAnsiTheme="majorHAnsi" w:cstheme="majorBidi"/>
                  <w:sz w:val="26"/>
                  <w:szCs w:val="26"/>
                </w:rPr>
              </w:pPr>
              <w:r w:rsidRPr="00907BDF">
                <w:rPr>
                  <w:rFonts w:asciiTheme="majorHAnsi" w:eastAsiaTheme="majorEastAsia" w:hAnsiTheme="majorHAnsi" w:cstheme="majorBidi"/>
                  <w:sz w:val="26"/>
                  <w:szCs w:val="26"/>
                </w:rPr>
                <w:t>Researcher:</w:t>
              </w:r>
            </w:p>
            <w:p w14:paraId="08BFE0FC" w14:textId="6036182A" w:rsidR="00907BDF" w:rsidRPr="00907BDF" w:rsidRDefault="00907BDF" w:rsidP="00D44940">
              <w:pPr>
                <w:pStyle w:val="Heading2"/>
                <w:keepNext w:val="0"/>
                <w:numPr>
                  <w:ilvl w:val="0"/>
                  <w:numId w:val="0"/>
                </w:numPr>
                <w:ind w:left="1080"/>
                <w:rPr>
                  <w:color w:val="auto"/>
                  <w:sz w:val="24"/>
                  <w:szCs w:val="24"/>
                </w:rPr>
              </w:pPr>
              <w:r w:rsidRPr="00907BDF">
                <w:rPr>
                  <w:color w:val="auto"/>
                  <w:sz w:val="24"/>
                  <w:szCs w:val="24"/>
                </w:rPr>
                <w:t>The Researcher characterizing the radioactive materials on the analytical equipment must ensure that:</w:t>
              </w:r>
            </w:p>
            <w:p w14:paraId="4426D320" w14:textId="77777777" w:rsidR="00907BDF" w:rsidRPr="00907BDF" w:rsidRDefault="00907BDF" w:rsidP="00D44940">
              <w:pPr>
                <w:pStyle w:val="Heading3"/>
                <w:keepNext w:val="0"/>
                <w:ind w:hanging="360"/>
                <w:rPr>
                  <w:color w:val="auto"/>
                </w:rPr>
              </w:pPr>
              <w:r w:rsidRPr="00907BDF">
                <w:rPr>
                  <w:color w:val="auto"/>
                </w:rPr>
                <w:t>They have acquired and will maintain full authorization to perform work related to radioactive materials from the Radiation Safety Office.</w:t>
              </w:r>
            </w:p>
            <w:p w14:paraId="207E5994" w14:textId="77777777" w:rsidR="00907BDF" w:rsidRPr="00907BDF" w:rsidRDefault="00907BDF" w:rsidP="00D44940">
              <w:pPr>
                <w:pStyle w:val="Heading3"/>
                <w:keepNext w:val="0"/>
                <w:ind w:hanging="360"/>
                <w:rPr>
                  <w:color w:val="auto"/>
                </w:rPr>
              </w:pPr>
              <w:r w:rsidRPr="00907BDF">
                <w:rPr>
                  <w:color w:val="auto"/>
                </w:rPr>
                <w:t>Conveyance of the radioactive material from the radiation laboratory to the analytical equipment then back to the radiological laboratory immediately following completion of analysis shall be done in accordance with the Work Instructions detailed in this document.</w:t>
              </w:r>
            </w:p>
            <w:p w14:paraId="2A3F4C46" w14:textId="77777777" w:rsidR="00907BDF" w:rsidRPr="00907BDF" w:rsidRDefault="00907BDF" w:rsidP="00D44940">
              <w:pPr>
                <w:pStyle w:val="Heading3"/>
                <w:keepNext w:val="0"/>
                <w:ind w:hanging="360"/>
                <w:rPr>
                  <w:color w:val="auto"/>
                </w:rPr>
              </w:pPr>
              <w:r w:rsidRPr="00907BDF">
                <w:rPr>
                  <w:color w:val="auto"/>
                </w:rPr>
                <w:t xml:space="preserve">The amount of radiation analyzed is lower than the quantity of licensed material requiring labeling (NRC Regulations </w:t>
              </w:r>
              <w:hyperlink r:id="rId8" w:history="1">
                <w:r w:rsidRPr="00907BDF">
                  <w:rPr>
                    <w:color w:val="auto"/>
                  </w:rPr>
                  <w:t>10 CFR Part 20 – Appendix C</w:t>
                </w:r>
              </w:hyperlink>
              <w:r w:rsidRPr="00907BDF">
                <w:rPr>
                  <w:color w:val="auto"/>
                </w:rPr>
                <w:t>).</w:t>
              </w:r>
            </w:p>
            <w:p w14:paraId="595DD42C" w14:textId="77777777" w:rsidR="00907BDF" w:rsidRPr="00907BDF" w:rsidRDefault="00907BDF" w:rsidP="00D44940">
              <w:pPr>
                <w:pStyle w:val="Heading3"/>
                <w:keepNext w:val="0"/>
                <w:ind w:hanging="360"/>
                <w:rPr>
                  <w:color w:val="auto"/>
                </w:rPr>
              </w:pPr>
              <w:r w:rsidRPr="00907BDF">
                <w:rPr>
                  <w:color w:val="auto"/>
                </w:rPr>
                <w:t>Appropriate contamination surveys of equipment will be performed before and after sample characterization to ensure that no contamination remains.</w:t>
              </w:r>
            </w:p>
            <w:p w14:paraId="7FA18568" w14:textId="77777777" w:rsidR="00907BDF" w:rsidRPr="00907BDF" w:rsidRDefault="00907BDF" w:rsidP="00D44940">
              <w:pPr>
                <w:pStyle w:val="Heading3"/>
                <w:keepNext w:val="0"/>
                <w:ind w:hanging="360"/>
                <w:rPr>
                  <w:color w:val="auto"/>
                </w:rPr>
              </w:pPr>
              <w:r w:rsidRPr="00907BDF">
                <w:rPr>
                  <w:color w:val="auto"/>
                </w:rPr>
                <w:t>Decontamination of equipment will be performed if surveys indicate radioactive contamination exists.</w:t>
              </w:r>
            </w:p>
            <w:p w14:paraId="7287D66C" w14:textId="77777777" w:rsidR="00907BDF" w:rsidRPr="00907BDF" w:rsidRDefault="00907BDF" w:rsidP="00D44940">
              <w:pPr>
                <w:pStyle w:val="Heading3"/>
                <w:keepNext w:val="0"/>
                <w:ind w:hanging="360"/>
                <w:rPr>
                  <w:color w:val="auto"/>
                </w:rPr>
              </w:pPr>
              <w:r w:rsidRPr="00907BDF">
                <w:rPr>
                  <w:color w:val="auto"/>
                </w:rPr>
                <w:t>The results of all radiation surveys shall be promptly, completely, and accurately documented.</w:t>
              </w:r>
            </w:p>
            <w:p w14:paraId="14CF733C" w14:textId="77777777" w:rsidR="002802E3" w:rsidRPr="00DF39ED" w:rsidRDefault="00907BDF" w:rsidP="00D44940">
              <w:pPr>
                <w:pStyle w:val="Heading3"/>
                <w:keepNext w:val="0"/>
                <w:ind w:hanging="360"/>
                <w:rPr>
                  <w:color w:val="auto"/>
                </w:rPr>
              </w:pPr>
              <w:r w:rsidRPr="00907BDF">
                <w:rPr>
                  <w:color w:val="auto"/>
                </w:rPr>
                <w:t>Radioactive samples in the radiological laboratory shall be disposed as directed by RPR 13: Radioactive Isotope Acquisition and Disposition.</w:t>
              </w:r>
            </w:p>
            <w:p w14:paraId="16F41CE5" w14:textId="709225CB" w:rsidR="00907BDF" w:rsidRPr="00DF39ED" w:rsidRDefault="00907BDF" w:rsidP="00D44940">
              <w:pPr>
                <w:pStyle w:val="Heading3"/>
                <w:keepNext w:val="0"/>
                <w:ind w:hanging="360"/>
              </w:pPr>
              <w:r w:rsidRPr="00DF39ED">
                <w:rPr>
                  <w:color w:val="auto"/>
                </w:rPr>
                <w:t>Notifying the Radiation Safety Office and other necessary persons/entities if conditions exist that warrant notification.</w:t>
              </w:r>
            </w:p>
          </w:sdtContent>
        </w:sdt>
      </w:sdtContent>
    </w:sdt>
    <w:p w14:paraId="50701309" w14:textId="10654DBD" w:rsidR="00597961" w:rsidRPr="00DF39ED" w:rsidRDefault="00597961" w:rsidP="002802E3">
      <w:pPr>
        <w:pStyle w:val="Heading1"/>
        <w:rPr>
          <w:color w:val="auto"/>
        </w:rPr>
      </w:pPr>
      <w:r w:rsidRPr="00DF39ED">
        <w:rPr>
          <w:color w:val="auto"/>
        </w:rPr>
        <w:t>WORK INSTRUCTIONS</w:t>
      </w:r>
    </w:p>
    <w:sdt>
      <w:sdtPr>
        <w:rPr>
          <w:rFonts w:asciiTheme="majorHAnsi" w:hAnsiTheme="majorHAnsi"/>
        </w:rPr>
        <w:id w:val="1551949618"/>
        <w:placeholder>
          <w:docPart w:val="DefaultPlaceholder_1081868574"/>
        </w:placeholder>
      </w:sdtPr>
      <w:sdtEndPr>
        <w:rPr>
          <w:rFonts w:eastAsiaTheme="majorEastAsia" w:cstheme="majorBidi"/>
        </w:rPr>
      </w:sdtEndPr>
      <w:sdtContent>
        <w:p w14:paraId="4A1C4FF9" w14:textId="77777777" w:rsidR="009C12A6" w:rsidRPr="00DF39ED" w:rsidRDefault="009C12A6" w:rsidP="00D84B9E">
          <w:pPr>
            <w:numPr>
              <w:ilvl w:val="0"/>
              <w:numId w:val="10"/>
            </w:numPr>
            <w:rPr>
              <w:rFonts w:asciiTheme="majorHAnsi" w:eastAsiaTheme="majorEastAsia" w:hAnsiTheme="majorHAnsi" w:cstheme="majorBidi"/>
              <w:sz w:val="26"/>
              <w:szCs w:val="26"/>
            </w:rPr>
          </w:pPr>
          <w:r w:rsidRPr="00DF39ED">
            <w:rPr>
              <w:rFonts w:asciiTheme="majorHAnsi" w:eastAsiaTheme="majorEastAsia" w:hAnsiTheme="majorHAnsi" w:cstheme="majorBidi"/>
              <w:sz w:val="26"/>
              <w:szCs w:val="26"/>
            </w:rPr>
            <w:t>Conveyance of Samples for Analysis on Analytical Equipment</w:t>
          </w:r>
        </w:p>
        <w:p w14:paraId="412DFA87" w14:textId="77777777" w:rsidR="0018265B" w:rsidRPr="00DF39ED" w:rsidRDefault="009C12A6" w:rsidP="00D84B9E">
          <w:pPr>
            <w:pStyle w:val="Heading2"/>
            <w:numPr>
              <w:ilvl w:val="0"/>
              <w:numId w:val="0"/>
            </w:numPr>
            <w:ind w:left="1080"/>
            <w:rPr>
              <w:color w:val="auto"/>
              <w:sz w:val="24"/>
              <w:szCs w:val="24"/>
            </w:rPr>
          </w:pPr>
          <w:r w:rsidRPr="00DF39ED">
            <w:rPr>
              <w:color w:val="auto"/>
              <w:sz w:val="24"/>
              <w:szCs w:val="24"/>
            </w:rPr>
            <w:t>Samples must be carried by the researcher who will be characterizing the materials on the analytical equipment. Samples must be contained in sealed glass or plastic vials and packed within small reusable containers filled with shock absorbing bubble wrap. If the distance between the radiological laboratory and the analytical equipment is too great to walk, then the research</w:t>
          </w:r>
          <w:r w:rsidR="001E165E" w:rsidRPr="00DF39ED">
            <w:rPr>
              <w:color w:val="auto"/>
              <w:sz w:val="24"/>
              <w:szCs w:val="24"/>
            </w:rPr>
            <w:t>er</w:t>
          </w:r>
          <w:r w:rsidRPr="00DF39ED">
            <w:rPr>
              <w:color w:val="auto"/>
              <w:sz w:val="24"/>
              <w:szCs w:val="24"/>
            </w:rPr>
            <w:t xml:space="preserve"> must consult with the Radiation Safety Office regarding transportation of the radiological materials.</w:t>
          </w:r>
        </w:p>
        <w:p w14:paraId="748CB1C6" w14:textId="77777777" w:rsidR="0018265B" w:rsidRPr="00DF39ED" w:rsidRDefault="0018265B" w:rsidP="0018265B">
          <w:pPr>
            <w:numPr>
              <w:ilvl w:val="0"/>
              <w:numId w:val="10"/>
            </w:numPr>
            <w:rPr>
              <w:rFonts w:asciiTheme="majorHAnsi" w:eastAsiaTheme="majorEastAsia" w:hAnsiTheme="majorHAnsi" w:cstheme="majorBidi"/>
              <w:sz w:val="26"/>
              <w:szCs w:val="26"/>
            </w:rPr>
          </w:pPr>
          <w:r w:rsidRPr="00DF39ED">
            <w:rPr>
              <w:rFonts w:asciiTheme="majorHAnsi" w:eastAsiaTheme="majorEastAsia" w:hAnsiTheme="majorHAnsi" w:cstheme="majorBidi"/>
              <w:sz w:val="26"/>
              <w:szCs w:val="26"/>
            </w:rPr>
            <w:t>Allowable Quantities in Non-Radiological Laboratories</w:t>
          </w:r>
        </w:p>
        <w:p w14:paraId="19CC6AFD" w14:textId="2C469BE6" w:rsidR="004E2E4C" w:rsidRPr="00DF39ED" w:rsidRDefault="0018265B" w:rsidP="0018265B">
          <w:pPr>
            <w:ind w:left="1080"/>
            <w:rPr>
              <w:rFonts w:asciiTheme="majorHAnsi" w:eastAsiaTheme="majorEastAsia" w:hAnsiTheme="majorHAnsi" w:cstheme="majorBidi"/>
            </w:rPr>
          </w:pPr>
          <w:r w:rsidRPr="00DF39ED">
            <w:rPr>
              <w:rFonts w:asciiTheme="majorHAnsi" w:eastAsiaTheme="majorEastAsia" w:hAnsiTheme="majorHAnsi" w:cstheme="majorBidi"/>
            </w:rPr>
            <w:t xml:space="preserve">Only quantities of material that are less than the quantities requiring labeling by the NRC: 10 CFR Part 20 may be characterized on the analytical equipment. Larger quantities may also be characterized on the analytical equipment if the material is characterized in an inert sample holder or non-dispersible form (i.e. epoxy mount) and with permission from the Radiation Safety Office. Common materials analyzed on analytical equipment at the University of Utah are listed in </w:t>
          </w:r>
          <w:hyperlink w:anchor="Table1" w:history="1">
            <w:r w:rsidRPr="007773CD">
              <w:rPr>
                <w:rStyle w:val="Hyperlink"/>
                <w:rFonts w:asciiTheme="majorHAnsi" w:eastAsiaTheme="majorEastAsia" w:hAnsiTheme="majorHAnsi" w:cstheme="majorBidi"/>
              </w:rPr>
              <w:t>Table 1</w:t>
            </w:r>
          </w:hyperlink>
          <w:r w:rsidRPr="00DF39ED">
            <w:rPr>
              <w:rFonts w:asciiTheme="majorHAnsi" w:eastAsiaTheme="majorEastAsia" w:hAnsiTheme="majorHAnsi" w:cstheme="majorBidi"/>
            </w:rPr>
            <w:t>.</w:t>
          </w:r>
        </w:p>
        <w:p w14:paraId="43C9F0E7" w14:textId="77777777" w:rsidR="004E2E4C" w:rsidRPr="00DF39ED" w:rsidRDefault="004E2E4C" w:rsidP="0018265B">
          <w:pPr>
            <w:ind w:left="1080"/>
            <w:rPr>
              <w:rFonts w:asciiTheme="majorHAnsi" w:eastAsiaTheme="majorEastAsia" w:hAnsiTheme="majorHAnsi" w:cstheme="majorBidi"/>
            </w:rPr>
          </w:pPr>
        </w:p>
        <w:tbl>
          <w:tblPr>
            <w:tblStyle w:val="PlainTable5"/>
            <w:tblW w:w="9720" w:type="dxa"/>
            <w:tblInd w:w="1080" w:type="dxa"/>
            <w:tblLook w:val="04A0" w:firstRow="1" w:lastRow="0" w:firstColumn="1" w:lastColumn="0" w:noHBand="0" w:noVBand="1"/>
          </w:tblPr>
          <w:tblGrid>
            <w:gridCol w:w="2000"/>
            <w:gridCol w:w="7720"/>
          </w:tblGrid>
          <w:tr w:rsidR="004E2E4C" w:rsidRPr="00DF39ED" w14:paraId="649388E2" w14:textId="77777777" w:rsidTr="004E2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20" w:type="dxa"/>
                <w:gridSpan w:val="2"/>
              </w:tcPr>
              <w:p w14:paraId="352B98D9" w14:textId="77777777" w:rsidR="004E2E4C" w:rsidRPr="00DF39ED" w:rsidRDefault="004E2E4C" w:rsidP="004E2E4C">
                <w:pPr>
                  <w:jc w:val="left"/>
                  <w:rPr>
                    <w:rFonts w:cs="Times New Roman"/>
                    <w:i w:val="0"/>
                  </w:rPr>
                </w:pPr>
                <w:bookmarkStart w:id="1" w:name="Table1"/>
                <w:bookmarkEnd w:id="1"/>
                <w:r w:rsidRPr="00DF39ED">
                  <w:rPr>
                    <w:rFonts w:cs="Times New Roman"/>
                    <w:b/>
                    <w:i w:val="0"/>
                  </w:rPr>
                  <w:lastRenderedPageBreak/>
                  <w:t>Table 1:</w:t>
                </w:r>
                <w:r w:rsidRPr="00DF39ED">
                  <w:rPr>
                    <w:rFonts w:cs="Times New Roman"/>
                    <w:i w:val="0"/>
                  </w:rPr>
                  <w:t xml:space="preserve"> Maximum limit of common research radionuclides that can be characterized in non-radiological laboratories on analytical equipment. These values are from NRC: 10 CFR Part 20. For quantities of radionuclides not on the list, please contact the Radiation Safety Office.</w:t>
                </w:r>
              </w:p>
            </w:tc>
          </w:tr>
          <w:tr w:rsidR="004E2E4C" w:rsidRPr="00DF39ED" w14:paraId="7BAFE7A6" w14:textId="7777777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F72DF5" w14:textId="77777777" w:rsidR="004E2E4C" w:rsidRPr="00DF39ED" w:rsidRDefault="004E2E4C" w:rsidP="00A31C00">
                <w:pPr>
                  <w:jc w:val="center"/>
                  <w:rPr>
                    <w:rFonts w:cs="Times New Roman"/>
                    <w:b/>
                    <w:i w:val="0"/>
                    <w:color w:val="000000"/>
                  </w:rPr>
                </w:pPr>
                <w:r w:rsidRPr="00DF39ED">
                  <w:rPr>
                    <w:rFonts w:cs="Times New Roman"/>
                    <w:b/>
                    <w:i w:val="0"/>
                    <w:color w:val="000000"/>
                  </w:rPr>
                  <w:t>Radionuclides</w:t>
                </w:r>
              </w:p>
            </w:tc>
            <w:tc>
              <w:tcPr>
                <w:tcW w:w="7064" w:type="dxa"/>
              </w:tcPr>
              <w:p w14:paraId="47AABA0A" w14:textId="77777777" w:rsidR="004E2E4C" w:rsidRPr="00DF39ED" w:rsidRDefault="004E2E4C" w:rsidP="00A31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DF39ED">
                  <w:rPr>
                    <w:rFonts w:asciiTheme="majorHAnsi" w:hAnsiTheme="majorHAnsi"/>
                    <w:b/>
                  </w:rPr>
                  <w:t>Maximum Quantity (μCi)</w:t>
                </w:r>
              </w:p>
            </w:tc>
          </w:tr>
          <w:tr w:rsidR="004E2E4C" w:rsidRPr="00DF39ED" w14:paraId="491D427E" w14:textId="77777777" w:rsidTr="004E2E4C">
            <w:tc>
              <w:tcPr>
                <w:cnfStyle w:val="001000000000" w:firstRow="0" w:lastRow="0" w:firstColumn="1" w:lastColumn="0" w:oddVBand="0" w:evenVBand="0" w:oddHBand="0" w:evenHBand="0" w:firstRowFirstColumn="0" w:firstRowLastColumn="0" w:lastRowFirstColumn="0" w:lastRowLastColumn="0"/>
                <w:tcW w:w="0" w:type="auto"/>
              </w:tcPr>
              <w:p w14:paraId="2656B93A"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232</w:t>
                </w:r>
                <w:r w:rsidRPr="00DF39ED">
                  <w:rPr>
                    <w:rFonts w:cs="Times New Roman"/>
                    <w:i w:val="0"/>
                    <w:color w:val="000000"/>
                  </w:rPr>
                  <w:t>Th</w:t>
                </w:r>
              </w:p>
            </w:tc>
            <w:tc>
              <w:tcPr>
                <w:tcW w:w="7064" w:type="dxa"/>
              </w:tcPr>
              <w:p w14:paraId="680CAB87" w14:textId="77777777" w:rsidR="004E2E4C" w:rsidRPr="00DF39ED" w:rsidRDefault="004E2E4C" w:rsidP="00A31C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F39ED">
                  <w:rPr>
                    <w:rFonts w:asciiTheme="majorHAnsi" w:hAnsiTheme="majorHAnsi"/>
                  </w:rPr>
                  <w:t>100</w:t>
                </w:r>
              </w:p>
            </w:tc>
          </w:tr>
          <w:tr w:rsidR="004E2E4C" w:rsidRPr="00DF39ED" w14:paraId="72AEE68E" w14:textId="7777777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8CBD8F" w14:textId="77777777" w:rsidR="004E2E4C" w:rsidRPr="00DF39ED" w:rsidRDefault="004E2E4C" w:rsidP="00A31C00">
                <w:pPr>
                  <w:jc w:val="center"/>
                  <w:rPr>
                    <w:rFonts w:cs="Times New Roman"/>
                    <w:i w:val="0"/>
                    <w:color w:val="000000"/>
                    <w:vertAlign w:val="superscript"/>
                  </w:rPr>
                </w:pPr>
                <w:r w:rsidRPr="00DF39ED">
                  <w:rPr>
                    <w:rFonts w:cs="Times New Roman"/>
                    <w:i w:val="0"/>
                    <w:color w:val="000000"/>
                    <w:vertAlign w:val="superscript"/>
                  </w:rPr>
                  <w:t>233</w:t>
                </w:r>
                <w:r w:rsidRPr="00DF39ED">
                  <w:rPr>
                    <w:rFonts w:cs="Times New Roman"/>
                    <w:i w:val="0"/>
                    <w:color w:val="000000"/>
                  </w:rPr>
                  <w:t>U</w:t>
                </w:r>
              </w:p>
            </w:tc>
            <w:tc>
              <w:tcPr>
                <w:tcW w:w="7064" w:type="dxa"/>
              </w:tcPr>
              <w:p w14:paraId="6C50CBFF" w14:textId="77777777" w:rsidR="004E2E4C" w:rsidRPr="00DF39ED" w:rsidRDefault="004E2E4C" w:rsidP="00A31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F39ED">
                  <w:rPr>
                    <w:rFonts w:asciiTheme="majorHAnsi" w:hAnsiTheme="majorHAnsi"/>
                  </w:rPr>
                  <w:t>0.001</w:t>
                </w:r>
              </w:p>
            </w:tc>
          </w:tr>
          <w:tr w:rsidR="004E2E4C" w:rsidRPr="00DF39ED" w14:paraId="1580F3BE" w14:textId="77777777" w:rsidTr="004E2E4C">
            <w:tc>
              <w:tcPr>
                <w:cnfStyle w:val="001000000000" w:firstRow="0" w:lastRow="0" w:firstColumn="1" w:lastColumn="0" w:oddVBand="0" w:evenVBand="0" w:oddHBand="0" w:evenHBand="0" w:firstRowFirstColumn="0" w:firstRowLastColumn="0" w:lastRowFirstColumn="0" w:lastRowLastColumn="0"/>
                <w:tcW w:w="0" w:type="auto"/>
              </w:tcPr>
              <w:p w14:paraId="3ACFBC2A"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235</w:t>
                </w:r>
                <w:r w:rsidRPr="00DF39ED">
                  <w:rPr>
                    <w:rFonts w:cs="Times New Roman"/>
                    <w:i w:val="0"/>
                    <w:color w:val="000000"/>
                  </w:rPr>
                  <w:t>U</w:t>
                </w:r>
              </w:p>
            </w:tc>
            <w:tc>
              <w:tcPr>
                <w:tcW w:w="7064" w:type="dxa"/>
              </w:tcPr>
              <w:p w14:paraId="4E72645C" w14:textId="77777777" w:rsidR="004E2E4C" w:rsidRPr="00DF39ED" w:rsidRDefault="004E2E4C" w:rsidP="00A31C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F39ED">
                  <w:rPr>
                    <w:rFonts w:asciiTheme="majorHAnsi" w:hAnsiTheme="majorHAnsi"/>
                  </w:rPr>
                  <w:t>0.001</w:t>
                </w:r>
              </w:p>
            </w:tc>
          </w:tr>
          <w:tr w:rsidR="004E2E4C" w:rsidRPr="00DF39ED" w14:paraId="5814AE61" w14:textId="7777777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137D18"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238</w:t>
                </w:r>
                <w:r w:rsidRPr="00DF39ED">
                  <w:rPr>
                    <w:rFonts w:cs="Times New Roman"/>
                    <w:i w:val="0"/>
                    <w:color w:val="000000"/>
                  </w:rPr>
                  <w:t>U</w:t>
                </w:r>
              </w:p>
            </w:tc>
            <w:tc>
              <w:tcPr>
                <w:tcW w:w="7064" w:type="dxa"/>
              </w:tcPr>
              <w:p w14:paraId="79B2B69D" w14:textId="77777777" w:rsidR="004E2E4C" w:rsidRPr="00DF39ED" w:rsidRDefault="004E2E4C" w:rsidP="00A31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F39ED">
                  <w:rPr>
                    <w:rFonts w:asciiTheme="majorHAnsi" w:hAnsiTheme="majorHAnsi"/>
                  </w:rPr>
                  <w:t>100</w:t>
                </w:r>
              </w:p>
            </w:tc>
          </w:tr>
          <w:tr w:rsidR="004E2E4C" w:rsidRPr="00DF39ED" w14:paraId="3D97C06C" w14:textId="77777777" w:rsidTr="004E2E4C">
            <w:tc>
              <w:tcPr>
                <w:cnfStyle w:val="001000000000" w:firstRow="0" w:lastRow="0" w:firstColumn="1" w:lastColumn="0" w:oddVBand="0" w:evenVBand="0" w:oddHBand="0" w:evenHBand="0" w:firstRowFirstColumn="0" w:firstRowLastColumn="0" w:lastRowFirstColumn="0" w:lastRowLastColumn="0"/>
                <w:tcW w:w="0" w:type="auto"/>
              </w:tcPr>
              <w:p w14:paraId="2C729721" w14:textId="77777777" w:rsidR="004E2E4C" w:rsidRPr="00DF39ED" w:rsidRDefault="004E2E4C" w:rsidP="00A31C00">
                <w:pPr>
                  <w:jc w:val="center"/>
                  <w:rPr>
                    <w:rFonts w:cs="Times New Roman"/>
                    <w:i w:val="0"/>
                    <w:color w:val="000000"/>
                  </w:rPr>
                </w:pPr>
                <w:r w:rsidRPr="00DF39ED">
                  <w:rPr>
                    <w:rFonts w:cs="Times New Roman"/>
                    <w:i w:val="0"/>
                    <w:color w:val="000000"/>
                  </w:rPr>
                  <w:t>Natural Uranium</w:t>
                </w:r>
              </w:p>
            </w:tc>
            <w:tc>
              <w:tcPr>
                <w:tcW w:w="7064" w:type="dxa"/>
              </w:tcPr>
              <w:p w14:paraId="431CA94D" w14:textId="77777777" w:rsidR="004E2E4C" w:rsidRPr="00DF39ED" w:rsidRDefault="004E2E4C" w:rsidP="00A31C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F39ED">
                  <w:rPr>
                    <w:rFonts w:asciiTheme="majorHAnsi" w:hAnsiTheme="majorHAnsi"/>
                  </w:rPr>
                  <w:t>100</w:t>
                </w:r>
              </w:p>
            </w:tc>
          </w:tr>
          <w:tr w:rsidR="004E2E4C" w:rsidRPr="00DF39ED" w14:paraId="711390F4" w14:textId="7777777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BDB3B9"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238</w:t>
                </w:r>
                <w:r w:rsidRPr="00DF39ED">
                  <w:rPr>
                    <w:rFonts w:cs="Times New Roman"/>
                    <w:i w:val="0"/>
                    <w:color w:val="000000"/>
                  </w:rPr>
                  <w:t>Pu</w:t>
                </w:r>
              </w:p>
            </w:tc>
            <w:tc>
              <w:tcPr>
                <w:tcW w:w="7064" w:type="dxa"/>
              </w:tcPr>
              <w:p w14:paraId="65A4746E" w14:textId="77777777" w:rsidR="004E2E4C" w:rsidRPr="00DF39ED" w:rsidRDefault="004E2E4C" w:rsidP="00A31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F39ED">
                  <w:rPr>
                    <w:rFonts w:asciiTheme="majorHAnsi" w:hAnsiTheme="majorHAnsi"/>
                  </w:rPr>
                  <w:t>0.001</w:t>
                </w:r>
              </w:p>
            </w:tc>
          </w:tr>
          <w:tr w:rsidR="004E2E4C" w:rsidRPr="00DF39ED" w14:paraId="7C414F6E" w14:textId="77777777" w:rsidTr="004E2E4C">
            <w:tc>
              <w:tcPr>
                <w:cnfStyle w:val="001000000000" w:firstRow="0" w:lastRow="0" w:firstColumn="1" w:lastColumn="0" w:oddVBand="0" w:evenVBand="0" w:oddHBand="0" w:evenHBand="0" w:firstRowFirstColumn="0" w:firstRowLastColumn="0" w:lastRowFirstColumn="0" w:lastRowLastColumn="0"/>
                <w:tcW w:w="0" w:type="auto"/>
              </w:tcPr>
              <w:p w14:paraId="16ACCE30"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239</w:t>
                </w:r>
                <w:r w:rsidRPr="00DF39ED">
                  <w:rPr>
                    <w:rFonts w:cs="Times New Roman"/>
                    <w:i w:val="0"/>
                    <w:color w:val="000000"/>
                  </w:rPr>
                  <w:t>Pu</w:t>
                </w:r>
              </w:p>
            </w:tc>
            <w:tc>
              <w:tcPr>
                <w:tcW w:w="7064" w:type="dxa"/>
              </w:tcPr>
              <w:p w14:paraId="7E6ED07D" w14:textId="77777777" w:rsidR="004E2E4C" w:rsidRPr="00DF39ED" w:rsidRDefault="004E2E4C" w:rsidP="00A31C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F39ED">
                  <w:rPr>
                    <w:rFonts w:asciiTheme="majorHAnsi" w:hAnsiTheme="majorHAnsi"/>
                  </w:rPr>
                  <w:t>0.001</w:t>
                </w:r>
              </w:p>
            </w:tc>
          </w:tr>
          <w:tr w:rsidR="004E2E4C" w:rsidRPr="00DF39ED" w14:paraId="79B10BBB" w14:textId="77777777" w:rsidTr="004E2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13142" w14:textId="77777777" w:rsidR="004E2E4C" w:rsidRPr="00DF39ED" w:rsidRDefault="004E2E4C" w:rsidP="00A31C00">
                <w:pPr>
                  <w:jc w:val="center"/>
                  <w:rPr>
                    <w:rFonts w:cs="Times New Roman"/>
                    <w:i w:val="0"/>
                    <w:color w:val="000000"/>
                  </w:rPr>
                </w:pPr>
                <w:r w:rsidRPr="00DF39ED">
                  <w:rPr>
                    <w:rFonts w:cs="Times New Roman"/>
                    <w:i w:val="0"/>
                    <w:color w:val="000000"/>
                    <w:vertAlign w:val="superscript"/>
                  </w:rPr>
                  <w:t>240</w:t>
                </w:r>
                <w:r w:rsidRPr="00DF39ED">
                  <w:rPr>
                    <w:rFonts w:cs="Times New Roman"/>
                    <w:i w:val="0"/>
                    <w:color w:val="000000"/>
                  </w:rPr>
                  <w:t>Pu</w:t>
                </w:r>
              </w:p>
            </w:tc>
            <w:tc>
              <w:tcPr>
                <w:tcW w:w="7064" w:type="dxa"/>
              </w:tcPr>
              <w:p w14:paraId="0D1BAC63" w14:textId="77777777" w:rsidR="004E2E4C" w:rsidRPr="00DF39ED" w:rsidRDefault="004E2E4C" w:rsidP="00A31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F39ED">
                  <w:rPr>
                    <w:rFonts w:asciiTheme="majorHAnsi" w:hAnsiTheme="majorHAnsi"/>
                  </w:rPr>
                  <w:t>0.001</w:t>
                </w:r>
              </w:p>
            </w:tc>
          </w:tr>
        </w:tbl>
        <w:p w14:paraId="4BC56B04" w14:textId="52312E4C" w:rsidR="007C3473" w:rsidRPr="00DF39ED" w:rsidRDefault="00295A27" w:rsidP="0018265B">
          <w:pPr>
            <w:ind w:left="1080"/>
            <w:rPr>
              <w:rFonts w:asciiTheme="majorHAnsi" w:eastAsiaTheme="majorEastAsia" w:hAnsiTheme="majorHAnsi" w:cstheme="majorBidi"/>
            </w:rPr>
          </w:pPr>
        </w:p>
      </w:sdtContent>
    </w:sdt>
    <w:p w14:paraId="043808DF" w14:textId="2FE3097D" w:rsidR="00F25356" w:rsidRPr="00DF39ED" w:rsidRDefault="00F25356" w:rsidP="00D84B9E">
      <w:pPr>
        <w:pStyle w:val="Heading1"/>
        <w:rPr>
          <w:color w:val="auto"/>
        </w:rPr>
      </w:pPr>
      <w:r w:rsidRPr="00DF39ED">
        <w:rPr>
          <w:color w:val="auto"/>
        </w:rPr>
        <w:t xml:space="preserve">SUPPORT </w:t>
      </w:r>
      <w:r w:rsidR="008D60F8" w:rsidRPr="00DF39ED">
        <w:rPr>
          <w:color w:val="auto"/>
        </w:rPr>
        <w:t>DOCUMENTS</w:t>
      </w:r>
    </w:p>
    <w:tbl>
      <w:tblPr>
        <w:tblStyle w:val="TableGrid"/>
        <w:tblW w:w="5000" w:type="pct"/>
        <w:tblLook w:val="04A0" w:firstRow="1" w:lastRow="0" w:firstColumn="1" w:lastColumn="0" w:noHBand="0" w:noVBand="1"/>
      </w:tblPr>
      <w:tblGrid>
        <w:gridCol w:w="2903"/>
        <w:gridCol w:w="7887"/>
      </w:tblGrid>
      <w:tr w:rsidR="002E1853" w:rsidRPr="00DF39ED" w14:paraId="0AD83D5A" w14:textId="77777777" w:rsidTr="002E1853">
        <w:tc>
          <w:tcPr>
            <w:tcW w:w="5000" w:type="pct"/>
            <w:gridSpan w:val="2"/>
          </w:tcPr>
          <w:p w14:paraId="76D9567F" w14:textId="77777777" w:rsidR="002E1853" w:rsidRPr="00DF39ED" w:rsidRDefault="002E1853" w:rsidP="005F2DE6">
            <w:pPr>
              <w:jc w:val="center"/>
              <w:rPr>
                <w:rFonts w:asciiTheme="majorHAnsi" w:hAnsiTheme="majorHAnsi"/>
                <w:b/>
              </w:rPr>
            </w:pPr>
            <w:r w:rsidRPr="00DF39ED">
              <w:rPr>
                <w:rFonts w:asciiTheme="majorHAnsi" w:hAnsiTheme="majorHAnsi"/>
                <w:b/>
              </w:rPr>
              <w:t>Job Aids</w:t>
            </w:r>
          </w:p>
        </w:tc>
      </w:tr>
      <w:tr w:rsidR="002E1853" w:rsidRPr="00DF39ED" w14:paraId="739064DB" w14:textId="77777777" w:rsidTr="00F25356">
        <w:tc>
          <w:tcPr>
            <w:tcW w:w="1345" w:type="pct"/>
          </w:tcPr>
          <w:p w14:paraId="24B658E0" w14:textId="77777777" w:rsidR="002E1853" w:rsidRPr="00DF39ED" w:rsidRDefault="002E1853" w:rsidP="00F25356">
            <w:pPr>
              <w:rPr>
                <w:rFonts w:asciiTheme="majorHAnsi" w:hAnsiTheme="majorHAnsi"/>
                <w:b/>
              </w:rPr>
            </w:pPr>
            <w:r w:rsidRPr="00DF39ED">
              <w:rPr>
                <w:rFonts w:asciiTheme="majorHAnsi" w:hAnsiTheme="majorHAnsi"/>
                <w:b/>
              </w:rPr>
              <w:t>Job Aid Number</w:t>
            </w:r>
          </w:p>
        </w:tc>
        <w:tc>
          <w:tcPr>
            <w:tcW w:w="3655" w:type="pct"/>
          </w:tcPr>
          <w:p w14:paraId="027C3F2D" w14:textId="77777777" w:rsidR="002E1853" w:rsidRPr="00DF39ED" w:rsidRDefault="002E1853" w:rsidP="00F25356">
            <w:pPr>
              <w:rPr>
                <w:rFonts w:asciiTheme="majorHAnsi" w:hAnsiTheme="majorHAnsi"/>
                <w:b/>
              </w:rPr>
            </w:pPr>
            <w:r w:rsidRPr="00DF39ED">
              <w:rPr>
                <w:rFonts w:asciiTheme="majorHAnsi" w:hAnsiTheme="majorHAnsi"/>
                <w:b/>
              </w:rPr>
              <w:t>Job Aid Title</w:t>
            </w:r>
          </w:p>
        </w:tc>
      </w:tr>
      <w:sdt>
        <w:sdtPr>
          <w:rPr>
            <w:rFonts w:asciiTheme="majorHAnsi" w:hAnsiTheme="majorHAnsi"/>
          </w:rPr>
          <w:id w:val="906729448"/>
          <w15:repeatingSection/>
        </w:sdtPr>
        <w:sdtEndPr/>
        <w:sdtContent>
          <w:sdt>
            <w:sdtPr>
              <w:rPr>
                <w:rFonts w:asciiTheme="majorHAnsi" w:hAnsiTheme="majorHAnsi"/>
              </w:rPr>
              <w:id w:val="-990091163"/>
              <w:placeholder>
                <w:docPart w:val="DefaultPlaceholder_1081868578"/>
              </w:placeholder>
              <w15:repeatingSectionItem/>
            </w:sdtPr>
            <w:sdtEndPr/>
            <w:sdtContent>
              <w:tr w:rsidR="002E1853" w:rsidRPr="00DF39ED" w14:paraId="6D6D1F47" w14:textId="77777777" w:rsidTr="005F2DE6">
                <w:tc>
                  <w:tcPr>
                    <w:tcW w:w="1345" w:type="pct"/>
                    <w:tcBorders>
                      <w:bottom w:val="single" w:sz="8" w:space="0" w:color="auto"/>
                    </w:tcBorders>
                  </w:tcPr>
                  <w:p w14:paraId="057A18A8" w14:textId="66107D51" w:rsidR="002E1853" w:rsidRPr="00DF39ED" w:rsidRDefault="00D44940" w:rsidP="00F25356">
                    <w:pPr>
                      <w:rPr>
                        <w:rFonts w:asciiTheme="majorHAnsi" w:hAnsiTheme="majorHAnsi"/>
                      </w:rPr>
                    </w:pPr>
                    <w:r w:rsidRPr="00DF39ED">
                      <w:rPr>
                        <w:rFonts w:asciiTheme="majorHAnsi" w:hAnsiTheme="majorHAnsi"/>
                      </w:rPr>
                      <w:t>N/A</w:t>
                    </w:r>
                  </w:p>
                </w:tc>
                <w:tc>
                  <w:tcPr>
                    <w:tcW w:w="3655" w:type="pct"/>
                    <w:tcBorders>
                      <w:bottom w:val="single" w:sz="8" w:space="0" w:color="auto"/>
                    </w:tcBorders>
                  </w:tcPr>
                  <w:p w14:paraId="38108939" w14:textId="6C5BE46F" w:rsidR="002E1853" w:rsidRPr="00DF39ED" w:rsidRDefault="00D44940" w:rsidP="00F25356">
                    <w:pPr>
                      <w:rPr>
                        <w:rFonts w:asciiTheme="majorHAnsi" w:hAnsiTheme="majorHAnsi"/>
                      </w:rPr>
                    </w:pPr>
                    <w:r w:rsidRPr="00DF39ED">
                      <w:rPr>
                        <w:rFonts w:asciiTheme="majorHAnsi" w:hAnsiTheme="majorHAnsi"/>
                      </w:rPr>
                      <w:t>N/A</w:t>
                    </w:r>
                  </w:p>
                </w:tc>
              </w:tr>
            </w:sdtContent>
          </w:sdt>
        </w:sdtContent>
      </w:sdt>
      <w:tr w:rsidR="002E1853" w:rsidRPr="00DF39ED" w14:paraId="0FFBDCDA" w14:textId="77777777" w:rsidTr="005F2DE6">
        <w:tc>
          <w:tcPr>
            <w:tcW w:w="5000" w:type="pct"/>
            <w:gridSpan w:val="2"/>
            <w:tcBorders>
              <w:top w:val="single" w:sz="8" w:space="0" w:color="auto"/>
              <w:left w:val="single" w:sz="6" w:space="0" w:color="auto"/>
              <w:bottom w:val="single" w:sz="6" w:space="0" w:color="auto"/>
              <w:right w:val="single" w:sz="6" w:space="0" w:color="auto"/>
            </w:tcBorders>
          </w:tcPr>
          <w:p w14:paraId="0E55E341" w14:textId="77777777" w:rsidR="002E1853" w:rsidRPr="00DF39ED" w:rsidRDefault="002E1853" w:rsidP="005F2DE6">
            <w:pPr>
              <w:jc w:val="center"/>
              <w:rPr>
                <w:rFonts w:asciiTheme="majorHAnsi" w:hAnsiTheme="majorHAnsi"/>
                <w:b/>
              </w:rPr>
            </w:pPr>
            <w:r w:rsidRPr="00DF39ED">
              <w:rPr>
                <w:rFonts w:asciiTheme="majorHAnsi" w:hAnsiTheme="majorHAnsi"/>
                <w:b/>
              </w:rPr>
              <w:t>Forms</w:t>
            </w:r>
          </w:p>
        </w:tc>
      </w:tr>
      <w:tr w:rsidR="00F25356" w:rsidRPr="00DF39ED" w14:paraId="63A8BDA2" w14:textId="77777777" w:rsidTr="005F2DE6">
        <w:tc>
          <w:tcPr>
            <w:tcW w:w="1345" w:type="pct"/>
            <w:tcBorders>
              <w:top w:val="single" w:sz="6" w:space="0" w:color="auto"/>
            </w:tcBorders>
          </w:tcPr>
          <w:p w14:paraId="4C545F6D" w14:textId="77777777" w:rsidR="00F25356" w:rsidRPr="00DF39ED" w:rsidRDefault="00F25356" w:rsidP="00F25356">
            <w:pPr>
              <w:rPr>
                <w:rFonts w:asciiTheme="majorHAnsi" w:hAnsiTheme="majorHAnsi"/>
                <w:b/>
              </w:rPr>
            </w:pPr>
            <w:r w:rsidRPr="00DF39ED">
              <w:rPr>
                <w:rFonts w:asciiTheme="majorHAnsi" w:hAnsiTheme="majorHAnsi"/>
                <w:b/>
              </w:rPr>
              <w:t>Form Number</w:t>
            </w:r>
          </w:p>
        </w:tc>
        <w:tc>
          <w:tcPr>
            <w:tcW w:w="3655" w:type="pct"/>
            <w:tcBorders>
              <w:top w:val="single" w:sz="6" w:space="0" w:color="auto"/>
            </w:tcBorders>
          </w:tcPr>
          <w:p w14:paraId="5BDDB655" w14:textId="77777777" w:rsidR="00F25356" w:rsidRPr="00DF39ED" w:rsidRDefault="00F25356" w:rsidP="00F25356">
            <w:pPr>
              <w:rPr>
                <w:rFonts w:asciiTheme="majorHAnsi" w:hAnsiTheme="majorHAnsi"/>
                <w:b/>
              </w:rPr>
            </w:pPr>
            <w:r w:rsidRPr="00DF39ED">
              <w:rPr>
                <w:rFonts w:asciiTheme="majorHAnsi" w:hAnsiTheme="majorHAnsi"/>
                <w:b/>
              </w:rPr>
              <w:t>Form Title</w:t>
            </w:r>
          </w:p>
        </w:tc>
      </w:tr>
      <w:sdt>
        <w:sdtPr>
          <w:rPr>
            <w:rFonts w:asciiTheme="majorHAnsi" w:hAnsiTheme="majorHAnsi"/>
          </w:rPr>
          <w:id w:val="-1178114655"/>
          <w15:repeatingSection/>
        </w:sdtPr>
        <w:sdtEndPr/>
        <w:sdtContent>
          <w:sdt>
            <w:sdtPr>
              <w:rPr>
                <w:rFonts w:asciiTheme="majorHAnsi" w:hAnsiTheme="majorHAnsi"/>
              </w:rPr>
              <w:id w:val="-917162708"/>
              <w:placeholder>
                <w:docPart w:val="DefaultPlaceholder_1081868578"/>
              </w:placeholder>
              <w15:repeatingSectionItem/>
            </w:sdtPr>
            <w:sdtEndPr/>
            <w:sdtContent>
              <w:tr w:rsidR="00F25356" w:rsidRPr="00DF39ED" w14:paraId="31C9CB53" w14:textId="77777777" w:rsidTr="005F2DE6">
                <w:tc>
                  <w:tcPr>
                    <w:tcW w:w="1345" w:type="pct"/>
                  </w:tcPr>
                  <w:p w14:paraId="5B7FD920" w14:textId="21A470AF" w:rsidR="00F25356" w:rsidRPr="00DF39ED" w:rsidRDefault="00D44940" w:rsidP="00F25356">
                    <w:pPr>
                      <w:rPr>
                        <w:rFonts w:asciiTheme="majorHAnsi" w:hAnsiTheme="majorHAnsi"/>
                      </w:rPr>
                    </w:pPr>
                    <w:r w:rsidRPr="00DF39ED">
                      <w:rPr>
                        <w:rFonts w:asciiTheme="majorHAnsi" w:hAnsiTheme="majorHAnsi"/>
                      </w:rPr>
                      <w:t>N/A</w:t>
                    </w:r>
                  </w:p>
                </w:tc>
                <w:tc>
                  <w:tcPr>
                    <w:tcW w:w="3655" w:type="pct"/>
                  </w:tcPr>
                  <w:p w14:paraId="52B98255" w14:textId="1C576825" w:rsidR="00F25356" w:rsidRPr="00DF39ED" w:rsidRDefault="00D44940" w:rsidP="00F25356">
                    <w:pPr>
                      <w:rPr>
                        <w:rFonts w:asciiTheme="majorHAnsi" w:hAnsiTheme="majorHAnsi"/>
                      </w:rPr>
                    </w:pPr>
                    <w:r w:rsidRPr="00DF39ED">
                      <w:rPr>
                        <w:rFonts w:asciiTheme="majorHAnsi" w:hAnsiTheme="majorHAnsi"/>
                      </w:rPr>
                      <w:t>N/A</w:t>
                    </w:r>
                  </w:p>
                </w:tc>
              </w:tr>
            </w:sdtContent>
          </w:sdt>
        </w:sdtContent>
      </w:sdt>
    </w:tbl>
    <w:p w14:paraId="345F8099" w14:textId="0EE310FC" w:rsidR="00DE4413" w:rsidRPr="00DF39ED" w:rsidRDefault="00EB43AE" w:rsidP="00D84B9E">
      <w:pPr>
        <w:pStyle w:val="Heading1"/>
        <w:rPr>
          <w:color w:val="auto"/>
        </w:rPr>
      </w:pPr>
      <w:r w:rsidRPr="00DF39ED">
        <w:rPr>
          <w:color w:val="auto"/>
        </w:rPr>
        <w:t>REFERENCES</w:t>
      </w:r>
    </w:p>
    <w:sdt>
      <w:sdtPr>
        <w:rPr>
          <w:rFonts w:asciiTheme="majorHAnsi" w:hAnsiTheme="majorHAnsi"/>
        </w:rPr>
        <w:id w:val="1244301265"/>
        <w:placeholder>
          <w:docPart w:val="DefaultPlaceholder_1081868574"/>
        </w:placeholder>
      </w:sdtPr>
      <w:sdtEndPr/>
      <w:sdtContent>
        <w:p w14:paraId="462C7CD8" w14:textId="77777777" w:rsidR="00467CEC" w:rsidRPr="00DF39ED" w:rsidRDefault="001E165E" w:rsidP="00467CEC">
          <w:pPr>
            <w:pStyle w:val="ListParagraph"/>
            <w:numPr>
              <w:ilvl w:val="0"/>
              <w:numId w:val="11"/>
            </w:numPr>
            <w:rPr>
              <w:rFonts w:asciiTheme="majorHAnsi" w:hAnsiTheme="majorHAnsi"/>
            </w:rPr>
          </w:pPr>
          <w:r w:rsidRPr="00DF39ED">
            <w:rPr>
              <w:rFonts w:asciiTheme="majorHAnsi" w:hAnsiTheme="majorHAnsi"/>
            </w:rPr>
            <w:t xml:space="preserve">NRC Regulations </w:t>
          </w:r>
          <w:hyperlink r:id="rId9" w:history="1">
            <w:r w:rsidRPr="00DF39ED">
              <w:rPr>
                <w:rStyle w:val="Hyperlink"/>
                <w:rFonts w:asciiTheme="majorHAnsi" w:hAnsiTheme="majorHAnsi"/>
              </w:rPr>
              <w:t>10 CFR Part 20 – Appendix C</w:t>
            </w:r>
          </w:hyperlink>
          <w:r w:rsidRPr="00DF39ED">
            <w:rPr>
              <w:rFonts w:asciiTheme="majorHAnsi" w:hAnsiTheme="majorHAnsi"/>
            </w:rPr>
            <w:t xml:space="preserve"> – Quantities of Licensed Material Requiring Labeling</w:t>
          </w:r>
        </w:p>
        <w:p w14:paraId="0496336B" w14:textId="767B0ADC" w:rsidR="00AB5499" w:rsidRPr="00DF39ED" w:rsidRDefault="00AB5499" w:rsidP="00467CEC">
          <w:pPr>
            <w:pStyle w:val="ListParagraph"/>
            <w:numPr>
              <w:ilvl w:val="0"/>
              <w:numId w:val="11"/>
            </w:numPr>
            <w:rPr>
              <w:rFonts w:asciiTheme="majorHAnsi" w:hAnsiTheme="majorHAnsi"/>
            </w:rPr>
          </w:pPr>
          <w:r w:rsidRPr="00DF39ED">
            <w:rPr>
              <w:rFonts w:asciiTheme="majorHAnsi" w:hAnsiTheme="majorHAnsi"/>
            </w:rPr>
            <w:t>RPR 10: Radionuclide Data – Table 11</w:t>
          </w:r>
        </w:p>
        <w:p w14:paraId="04BAC0E6" w14:textId="6E59A43A" w:rsidR="001C586E" w:rsidRPr="00DF39ED" w:rsidRDefault="00467CEC" w:rsidP="00D84B9E">
          <w:pPr>
            <w:pStyle w:val="ListParagraph"/>
            <w:numPr>
              <w:ilvl w:val="0"/>
              <w:numId w:val="11"/>
            </w:numPr>
            <w:rPr>
              <w:rFonts w:asciiTheme="majorHAnsi" w:hAnsiTheme="majorHAnsi"/>
            </w:rPr>
          </w:pPr>
          <w:r w:rsidRPr="00DF39ED">
            <w:rPr>
              <w:rFonts w:asciiTheme="majorHAnsi" w:hAnsiTheme="majorHAnsi"/>
            </w:rPr>
            <w:t>RPR 13: Radioactive Isotope Acquisition and Disposition</w:t>
          </w:r>
        </w:p>
      </w:sdtContent>
    </w:sdt>
    <w:p w14:paraId="19FF1631" w14:textId="3C838A18" w:rsidR="006D4DD9" w:rsidRPr="00DF39ED" w:rsidRDefault="008D60F8" w:rsidP="006D4DD9">
      <w:pPr>
        <w:pStyle w:val="Heading1"/>
        <w:rPr>
          <w:color w:val="auto"/>
        </w:rPr>
      </w:pPr>
      <w:r w:rsidRPr="00DF39ED">
        <w:rPr>
          <w:color w:val="auto"/>
        </w:rPr>
        <w:t>REVISION HISTORY</w:t>
      </w:r>
    </w:p>
    <w:tbl>
      <w:tblPr>
        <w:tblStyle w:val="TableGrid"/>
        <w:tblW w:w="5000" w:type="pct"/>
        <w:tblLook w:val="04A0" w:firstRow="1" w:lastRow="0" w:firstColumn="1" w:lastColumn="0" w:noHBand="0" w:noVBand="1"/>
      </w:tblPr>
      <w:tblGrid>
        <w:gridCol w:w="1137"/>
        <w:gridCol w:w="2078"/>
        <w:gridCol w:w="7575"/>
      </w:tblGrid>
      <w:tr w:rsidR="006D4DD9" w:rsidRPr="00DF39ED" w14:paraId="556FC6FC" w14:textId="77777777" w:rsidTr="008E73BD">
        <w:tc>
          <w:tcPr>
            <w:tcW w:w="527" w:type="pct"/>
            <w:vAlign w:val="center"/>
          </w:tcPr>
          <w:p w14:paraId="119EB96F" w14:textId="77777777" w:rsidR="006D4DD9" w:rsidRPr="00DF39ED" w:rsidRDefault="006D4DD9" w:rsidP="00A31C00">
            <w:pPr>
              <w:rPr>
                <w:rFonts w:asciiTheme="majorHAnsi" w:hAnsiTheme="majorHAnsi"/>
                <w:b/>
              </w:rPr>
            </w:pPr>
            <w:r w:rsidRPr="00DF39ED">
              <w:rPr>
                <w:rFonts w:asciiTheme="majorHAnsi" w:hAnsiTheme="majorHAnsi"/>
                <w:b/>
              </w:rPr>
              <w:t>Rev. #</w:t>
            </w:r>
          </w:p>
        </w:tc>
        <w:tc>
          <w:tcPr>
            <w:tcW w:w="963" w:type="pct"/>
            <w:vAlign w:val="center"/>
          </w:tcPr>
          <w:p w14:paraId="113C8FC0" w14:textId="77777777" w:rsidR="006D4DD9" w:rsidRPr="00DF39ED" w:rsidRDefault="006D4DD9" w:rsidP="00A31C00">
            <w:pPr>
              <w:rPr>
                <w:rFonts w:asciiTheme="majorHAnsi" w:hAnsiTheme="majorHAnsi"/>
                <w:b/>
              </w:rPr>
            </w:pPr>
            <w:r w:rsidRPr="00DF39ED">
              <w:rPr>
                <w:rFonts w:asciiTheme="majorHAnsi" w:hAnsiTheme="majorHAnsi"/>
                <w:b/>
              </w:rPr>
              <w:t>Revision Date</w:t>
            </w:r>
          </w:p>
        </w:tc>
        <w:tc>
          <w:tcPr>
            <w:tcW w:w="3510" w:type="pct"/>
            <w:vAlign w:val="center"/>
          </w:tcPr>
          <w:p w14:paraId="5B63639C" w14:textId="77777777" w:rsidR="006D4DD9" w:rsidRPr="00DF39ED" w:rsidRDefault="006D4DD9" w:rsidP="00A31C00">
            <w:pPr>
              <w:rPr>
                <w:rFonts w:asciiTheme="majorHAnsi" w:hAnsiTheme="majorHAnsi"/>
                <w:b/>
              </w:rPr>
            </w:pPr>
            <w:r w:rsidRPr="00DF39ED">
              <w:rPr>
                <w:rFonts w:asciiTheme="majorHAnsi" w:hAnsiTheme="majorHAnsi"/>
                <w:b/>
              </w:rPr>
              <w:t>Changes from previous revision</w:t>
            </w:r>
          </w:p>
          <w:p w14:paraId="0EF12D9E" w14:textId="77777777" w:rsidR="006D4DD9" w:rsidRPr="00DF39ED" w:rsidRDefault="006D4DD9" w:rsidP="00A31C00">
            <w:pPr>
              <w:rPr>
                <w:rFonts w:asciiTheme="majorHAnsi" w:hAnsiTheme="majorHAnsi"/>
                <w:b/>
                <w:i/>
              </w:rPr>
            </w:pPr>
            <w:r w:rsidRPr="00DF39ED">
              <w:rPr>
                <w:rFonts w:asciiTheme="majorHAnsi" w:hAnsiTheme="majorHAnsi"/>
                <w:b/>
                <w:i/>
              </w:rPr>
              <w:t>(Description/explanation required, even if no revision made)</w:t>
            </w:r>
          </w:p>
        </w:tc>
      </w:tr>
      <w:sdt>
        <w:sdtPr>
          <w:rPr>
            <w:rFonts w:asciiTheme="majorHAnsi" w:hAnsiTheme="majorHAnsi"/>
          </w:rPr>
          <w:id w:val="889465794"/>
          <w15:repeatingSection/>
        </w:sdtPr>
        <w:sdtEndPr/>
        <w:sdtContent>
          <w:sdt>
            <w:sdtPr>
              <w:rPr>
                <w:rFonts w:asciiTheme="majorHAnsi" w:hAnsiTheme="majorHAnsi"/>
              </w:rPr>
              <w:id w:val="193197188"/>
              <w:placeholder>
                <w:docPart w:val="F5435E830D584179AE13A28772CA1439"/>
              </w:placeholder>
              <w15:repeatingSectionItem/>
            </w:sdtPr>
            <w:sdtEndPr/>
            <w:sdtContent>
              <w:tr w:rsidR="006D4DD9" w:rsidRPr="00DF39ED" w14:paraId="08476827" w14:textId="77777777" w:rsidTr="008E73BD">
                <w:tc>
                  <w:tcPr>
                    <w:tcW w:w="527" w:type="pct"/>
                  </w:tcPr>
                  <w:p w14:paraId="3C31A16A" w14:textId="77777777" w:rsidR="006D4DD9" w:rsidRPr="00DF39ED" w:rsidRDefault="006D4DD9" w:rsidP="00A31C00">
                    <w:pPr>
                      <w:rPr>
                        <w:rFonts w:asciiTheme="majorHAnsi" w:hAnsiTheme="majorHAnsi"/>
                      </w:rPr>
                    </w:pPr>
                    <w:r w:rsidRPr="00DF39ED">
                      <w:rPr>
                        <w:rFonts w:asciiTheme="majorHAnsi" w:hAnsiTheme="majorHAnsi"/>
                      </w:rPr>
                      <w:t>0</w:t>
                    </w:r>
                  </w:p>
                </w:tc>
                <w:sdt>
                  <w:sdtPr>
                    <w:rPr>
                      <w:rFonts w:asciiTheme="majorHAnsi" w:hAnsiTheme="majorHAnsi"/>
                    </w:rPr>
                    <w:id w:val="-480301274"/>
                    <w:placeholder>
                      <w:docPart w:val="F81198D5257145B597C393125BD227C5"/>
                    </w:placeholder>
                    <w:date w:fullDate="2018-09-13T00:00:00Z">
                      <w:dateFormat w:val="M/d/yyyy"/>
                      <w:lid w:val="en-US"/>
                      <w:storeMappedDataAs w:val="dateTime"/>
                      <w:calendar w:val="gregorian"/>
                    </w:date>
                  </w:sdtPr>
                  <w:sdtEndPr/>
                  <w:sdtContent>
                    <w:tc>
                      <w:tcPr>
                        <w:tcW w:w="963" w:type="pct"/>
                      </w:tcPr>
                      <w:p w14:paraId="570A409D" w14:textId="77777777" w:rsidR="006D4DD9" w:rsidRPr="00DF39ED" w:rsidRDefault="006D4DD9" w:rsidP="00A31C00">
                        <w:pPr>
                          <w:rPr>
                            <w:rFonts w:asciiTheme="majorHAnsi" w:hAnsiTheme="majorHAnsi"/>
                          </w:rPr>
                        </w:pPr>
                        <w:r w:rsidRPr="00DF39ED">
                          <w:rPr>
                            <w:rFonts w:asciiTheme="majorHAnsi" w:hAnsiTheme="majorHAnsi"/>
                          </w:rPr>
                          <w:t>9/13/2018</w:t>
                        </w:r>
                      </w:p>
                    </w:tc>
                  </w:sdtContent>
                </w:sdt>
                <w:tc>
                  <w:tcPr>
                    <w:tcW w:w="3510" w:type="pct"/>
                  </w:tcPr>
                  <w:p w14:paraId="3F5DB076" w14:textId="77777777" w:rsidR="006D4DD9" w:rsidRPr="00DF39ED" w:rsidRDefault="006D4DD9" w:rsidP="00A31C00">
                    <w:pPr>
                      <w:rPr>
                        <w:rFonts w:asciiTheme="majorHAnsi" w:hAnsiTheme="majorHAnsi"/>
                      </w:rPr>
                    </w:pPr>
                    <w:r w:rsidRPr="00DF39ED">
                      <w:rPr>
                        <w:rFonts w:asciiTheme="majorHAnsi" w:hAnsiTheme="majorHAnsi"/>
                      </w:rPr>
                      <w:t>Original procedure.</w:t>
                    </w:r>
                  </w:p>
                </w:tc>
              </w:tr>
            </w:sdtContent>
          </w:sdt>
        </w:sdtContent>
      </w:sdt>
    </w:tbl>
    <w:p w14:paraId="6E7E7209" w14:textId="7736C35C" w:rsidR="00DE4413" w:rsidRPr="00DF39ED" w:rsidRDefault="006D4DD9" w:rsidP="00D84B9E">
      <w:pPr>
        <w:pStyle w:val="Heading1"/>
        <w:rPr>
          <w:color w:val="auto"/>
        </w:rPr>
      </w:pPr>
      <w:r w:rsidRPr="00DF39ED">
        <w:rPr>
          <w:color w:val="auto"/>
        </w:rPr>
        <w:t>APPROVAL</w:t>
      </w:r>
    </w:p>
    <w:p w14:paraId="6E582A2F" w14:textId="77777777" w:rsidR="003E3453" w:rsidRPr="00DF39ED" w:rsidRDefault="003E3453">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4504"/>
        <w:gridCol w:w="2698"/>
      </w:tblGrid>
      <w:tr w:rsidR="003E3453" w:rsidRPr="00DF39ED" w14:paraId="51EED71B" w14:textId="77777777" w:rsidTr="003564AD">
        <w:tc>
          <w:tcPr>
            <w:tcW w:w="1666" w:type="pct"/>
            <w:tcBorders>
              <w:bottom w:val="single" w:sz="4" w:space="0" w:color="auto"/>
            </w:tcBorders>
          </w:tcPr>
          <w:p w14:paraId="475749FB" w14:textId="77777777" w:rsidR="003E3453" w:rsidRPr="00DF39ED" w:rsidRDefault="003E3453" w:rsidP="00AD4D42">
            <w:pPr>
              <w:rPr>
                <w:rFonts w:asciiTheme="majorHAnsi" w:hAnsiTheme="majorHAnsi"/>
              </w:rPr>
            </w:pPr>
          </w:p>
        </w:tc>
        <w:tc>
          <w:tcPr>
            <w:tcW w:w="2085" w:type="pct"/>
            <w:tcBorders>
              <w:bottom w:val="single" w:sz="4" w:space="0" w:color="auto"/>
            </w:tcBorders>
          </w:tcPr>
          <w:p w14:paraId="7ABDF43A" w14:textId="77777777" w:rsidR="003E3453" w:rsidRPr="00DF39ED" w:rsidRDefault="003E3453" w:rsidP="00AD4D42">
            <w:pPr>
              <w:rPr>
                <w:rFonts w:asciiTheme="majorHAnsi" w:hAnsiTheme="majorHAnsi"/>
              </w:rPr>
            </w:pPr>
          </w:p>
        </w:tc>
        <w:sdt>
          <w:sdtPr>
            <w:rPr>
              <w:rFonts w:asciiTheme="majorHAnsi" w:hAnsiTheme="majorHAnsi"/>
            </w:rPr>
            <w:id w:val="-191151052"/>
            <w:placeholder>
              <w:docPart w:val="B6C0634BE7EE492EBA278550F4DFEAB5"/>
            </w:placeholder>
            <w:showingPlcHdr/>
            <w:date>
              <w:dateFormat w:val="M/d/yyyy"/>
              <w:lid w:val="en-US"/>
              <w:storeMappedDataAs w:val="dateTime"/>
              <w:calendar w:val="gregorian"/>
            </w:date>
          </w:sdtPr>
          <w:sdtEndPr/>
          <w:sdtContent>
            <w:tc>
              <w:tcPr>
                <w:tcW w:w="1249" w:type="pct"/>
                <w:tcBorders>
                  <w:bottom w:val="single" w:sz="4" w:space="0" w:color="auto"/>
                </w:tcBorders>
              </w:tcPr>
              <w:p w14:paraId="644F514D" w14:textId="77777777" w:rsidR="003E3453" w:rsidRPr="00DF39ED" w:rsidRDefault="003E3453" w:rsidP="00AD4D42">
                <w:pPr>
                  <w:rPr>
                    <w:rFonts w:asciiTheme="majorHAnsi" w:hAnsiTheme="majorHAnsi"/>
                  </w:rPr>
                </w:pPr>
                <w:r w:rsidRPr="00DF39ED">
                  <w:rPr>
                    <w:rStyle w:val="PlaceholderText"/>
                    <w:rFonts w:asciiTheme="majorHAnsi" w:hAnsiTheme="majorHAnsi"/>
                  </w:rPr>
                  <w:t>Click here to enter a date.</w:t>
                </w:r>
              </w:p>
            </w:tc>
          </w:sdtContent>
        </w:sdt>
      </w:tr>
      <w:tr w:rsidR="003E3453" w:rsidRPr="00DF39ED" w14:paraId="49172381" w14:textId="77777777" w:rsidTr="003564AD">
        <w:tc>
          <w:tcPr>
            <w:tcW w:w="1666" w:type="pct"/>
            <w:tcBorders>
              <w:top w:val="single" w:sz="4" w:space="0" w:color="auto"/>
            </w:tcBorders>
          </w:tcPr>
          <w:p w14:paraId="52BF025F" w14:textId="76DE05C5" w:rsidR="003E3453" w:rsidRPr="00DF39ED" w:rsidRDefault="00375348" w:rsidP="00375348">
            <w:pPr>
              <w:rPr>
                <w:rFonts w:asciiTheme="majorHAnsi" w:hAnsiTheme="majorHAnsi"/>
              </w:rPr>
            </w:pPr>
            <w:r w:rsidRPr="00DF39ED">
              <w:rPr>
                <w:rFonts w:asciiTheme="majorHAnsi" w:hAnsiTheme="majorHAnsi"/>
              </w:rPr>
              <w:t>QA</w:t>
            </w:r>
            <w:r w:rsidR="005B05D7" w:rsidRPr="00DF39ED">
              <w:rPr>
                <w:rFonts w:asciiTheme="majorHAnsi" w:hAnsiTheme="majorHAnsi"/>
              </w:rPr>
              <w:t xml:space="preserve"> </w:t>
            </w:r>
            <w:r w:rsidRPr="00DF39ED">
              <w:rPr>
                <w:rFonts w:asciiTheme="majorHAnsi" w:hAnsiTheme="majorHAnsi"/>
              </w:rPr>
              <w:t>Manager Name</w:t>
            </w:r>
          </w:p>
        </w:tc>
        <w:tc>
          <w:tcPr>
            <w:tcW w:w="2085" w:type="pct"/>
            <w:tcBorders>
              <w:top w:val="single" w:sz="4" w:space="0" w:color="auto"/>
            </w:tcBorders>
          </w:tcPr>
          <w:p w14:paraId="04CACF02" w14:textId="03AD5A5F" w:rsidR="003E3453" w:rsidRPr="00DF39ED" w:rsidRDefault="00375348" w:rsidP="005B05D7">
            <w:pPr>
              <w:rPr>
                <w:rFonts w:asciiTheme="majorHAnsi" w:hAnsiTheme="majorHAnsi"/>
              </w:rPr>
            </w:pPr>
            <w:r w:rsidRPr="00DF39ED">
              <w:rPr>
                <w:rFonts w:asciiTheme="majorHAnsi" w:hAnsiTheme="majorHAnsi"/>
              </w:rPr>
              <w:t>QA Manager</w:t>
            </w:r>
            <w:r w:rsidR="003E3453" w:rsidRPr="00DF39ED">
              <w:rPr>
                <w:rFonts w:asciiTheme="majorHAnsi" w:hAnsiTheme="majorHAnsi"/>
              </w:rPr>
              <w:t xml:space="preserve"> Signature</w:t>
            </w:r>
          </w:p>
        </w:tc>
        <w:tc>
          <w:tcPr>
            <w:tcW w:w="1249" w:type="pct"/>
            <w:tcBorders>
              <w:top w:val="single" w:sz="4" w:space="0" w:color="auto"/>
            </w:tcBorders>
          </w:tcPr>
          <w:p w14:paraId="737420B1" w14:textId="77777777" w:rsidR="003E3453" w:rsidRPr="00DF39ED" w:rsidRDefault="003E3453" w:rsidP="00AD4D42">
            <w:pPr>
              <w:rPr>
                <w:rFonts w:asciiTheme="majorHAnsi" w:hAnsiTheme="majorHAnsi"/>
              </w:rPr>
            </w:pPr>
            <w:r w:rsidRPr="00DF39ED">
              <w:rPr>
                <w:rFonts w:asciiTheme="majorHAnsi" w:hAnsiTheme="majorHAnsi"/>
              </w:rPr>
              <w:t>Date</w:t>
            </w:r>
          </w:p>
        </w:tc>
      </w:tr>
    </w:tbl>
    <w:p w14:paraId="54B05967" w14:textId="77777777" w:rsidR="003E3453" w:rsidRPr="00DF39ED" w:rsidRDefault="003E3453" w:rsidP="003E3453">
      <w:pPr>
        <w:rPr>
          <w:rFonts w:asciiTheme="majorHAnsi" w:hAnsi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4504"/>
        <w:gridCol w:w="2698"/>
      </w:tblGrid>
      <w:tr w:rsidR="003E3453" w:rsidRPr="00DF39ED" w14:paraId="788BD791" w14:textId="77777777" w:rsidTr="003564AD">
        <w:tc>
          <w:tcPr>
            <w:tcW w:w="1666" w:type="pct"/>
            <w:tcBorders>
              <w:bottom w:val="single" w:sz="4" w:space="0" w:color="auto"/>
            </w:tcBorders>
          </w:tcPr>
          <w:p w14:paraId="0C62A5E7" w14:textId="77777777" w:rsidR="003E3453" w:rsidRPr="00DF39ED" w:rsidRDefault="003E3453" w:rsidP="003E3453">
            <w:pPr>
              <w:rPr>
                <w:rFonts w:asciiTheme="majorHAnsi" w:hAnsiTheme="majorHAnsi"/>
              </w:rPr>
            </w:pPr>
          </w:p>
        </w:tc>
        <w:tc>
          <w:tcPr>
            <w:tcW w:w="2085" w:type="pct"/>
            <w:tcBorders>
              <w:bottom w:val="single" w:sz="4" w:space="0" w:color="auto"/>
            </w:tcBorders>
          </w:tcPr>
          <w:p w14:paraId="3F834E75" w14:textId="77777777" w:rsidR="003E3453" w:rsidRPr="00DF39ED" w:rsidRDefault="003E3453" w:rsidP="003E3453">
            <w:pPr>
              <w:rPr>
                <w:rFonts w:asciiTheme="majorHAnsi" w:hAnsiTheme="majorHAnsi"/>
              </w:rPr>
            </w:pPr>
          </w:p>
        </w:tc>
        <w:sdt>
          <w:sdtPr>
            <w:rPr>
              <w:rFonts w:asciiTheme="majorHAnsi" w:hAnsiTheme="majorHAnsi"/>
            </w:rPr>
            <w:id w:val="-1279564066"/>
            <w:placeholder>
              <w:docPart w:val="DefaultPlaceholder_1081868576"/>
            </w:placeholder>
            <w:showingPlcHdr/>
            <w:date>
              <w:dateFormat w:val="M/d/yyyy"/>
              <w:lid w:val="en-US"/>
              <w:storeMappedDataAs w:val="dateTime"/>
              <w:calendar w:val="gregorian"/>
            </w:date>
          </w:sdtPr>
          <w:sdtEndPr/>
          <w:sdtContent>
            <w:tc>
              <w:tcPr>
                <w:tcW w:w="1249" w:type="pct"/>
                <w:tcBorders>
                  <w:bottom w:val="single" w:sz="4" w:space="0" w:color="auto"/>
                </w:tcBorders>
              </w:tcPr>
              <w:p w14:paraId="2B65B98B" w14:textId="77777777" w:rsidR="003E3453" w:rsidRPr="00DF39ED" w:rsidRDefault="003E3453" w:rsidP="003E3453">
                <w:pPr>
                  <w:rPr>
                    <w:rFonts w:asciiTheme="majorHAnsi" w:hAnsiTheme="majorHAnsi"/>
                  </w:rPr>
                </w:pPr>
                <w:r w:rsidRPr="00DF39ED">
                  <w:rPr>
                    <w:rStyle w:val="PlaceholderText"/>
                    <w:rFonts w:asciiTheme="majorHAnsi" w:hAnsiTheme="majorHAnsi"/>
                  </w:rPr>
                  <w:t>Click here to enter a date.</w:t>
                </w:r>
              </w:p>
            </w:tc>
          </w:sdtContent>
        </w:sdt>
      </w:tr>
      <w:tr w:rsidR="003E3453" w:rsidRPr="00DF39ED" w14:paraId="5662D6DE" w14:textId="77777777" w:rsidTr="003564AD">
        <w:tc>
          <w:tcPr>
            <w:tcW w:w="1666" w:type="pct"/>
            <w:tcBorders>
              <w:top w:val="single" w:sz="4" w:space="0" w:color="auto"/>
            </w:tcBorders>
          </w:tcPr>
          <w:p w14:paraId="27D9E038" w14:textId="77777777" w:rsidR="003E3453" w:rsidRPr="00DF39ED" w:rsidRDefault="003E3453" w:rsidP="003E3453">
            <w:pPr>
              <w:rPr>
                <w:rFonts w:asciiTheme="majorHAnsi" w:hAnsiTheme="majorHAnsi"/>
              </w:rPr>
            </w:pPr>
            <w:r w:rsidRPr="00DF39ED">
              <w:rPr>
                <w:rFonts w:asciiTheme="majorHAnsi" w:hAnsiTheme="majorHAnsi"/>
              </w:rPr>
              <w:t>RSO Name</w:t>
            </w:r>
          </w:p>
        </w:tc>
        <w:tc>
          <w:tcPr>
            <w:tcW w:w="2085" w:type="pct"/>
            <w:tcBorders>
              <w:top w:val="single" w:sz="4" w:space="0" w:color="auto"/>
            </w:tcBorders>
          </w:tcPr>
          <w:p w14:paraId="6C7B98A3" w14:textId="77777777" w:rsidR="003E3453" w:rsidRPr="00DF39ED" w:rsidRDefault="003E3453" w:rsidP="003E3453">
            <w:pPr>
              <w:rPr>
                <w:rFonts w:asciiTheme="majorHAnsi" w:hAnsiTheme="majorHAnsi"/>
              </w:rPr>
            </w:pPr>
            <w:r w:rsidRPr="00DF39ED">
              <w:rPr>
                <w:rFonts w:asciiTheme="majorHAnsi" w:hAnsiTheme="majorHAnsi"/>
              </w:rPr>
              <w:t>RSO Approval Signature</w:t>
            </w:r>
          </w:p>
        </w:tc>
        <w:tc>
          <w:tcPr>
            <w:tcW w:w="1249" w:type="pct"/>
            <w:tcBorders>
              <w:top w:val="single" w:sz="4" w:space="0" w:color="auto"/>
            </w:tcBorders>
          </w:tcPr>
          <w:p w14:paraId="5C9B8C51" w14:textId="77777777" w:rsidR="003E3453" w:rsidRPr="00DF39ED" w:rsidRDefault="003E3453" w:rsidP="003E3453">
            <w:pPr>
              <w:rPr>
                <w:rFonts w:asciiTheme="majorHAnsi" w:hAnsiTheme="majorHAnsi"/>
              </w:rPr>
            </w:pPr>
            <w:r w:rsidRPr="00DF39ED">
              <w:rPr>
                <w:rFonts w:asciiTheme="majorHAnsi" w:hAnsiTheme="majorHAnsi"/>
              </w:rPr>
              <w:t>Date</w:t>
            </w:r>
          </w:p>
        </w:tc>
      </w:tr>
    </w:tbl>
    <w:p w14:paraId="28D9DB84" w14:textId="77777777" w:rsidR="00A45047" w:rsidRPr="00DF39ED" w:rsidRDefault="00A45047" w:rsidP="003E3453">
      <w:pPr>
        <w:rPr>
          <w:rFonts w:asciiTheme="majorHAnsi" w:hAnsiTheme="majorHAnsi"/>
        </w:rPr>
      </w:pPr>
    </w:p>
    <w:sectPr w:rsidR="00A45047" w:rsidRPr="00DF39ED" w:rsidSect="00E17E50">
      <w:footerReference w:type="default" r:id="rId10"/>
      <w:headerReference w:type="first" r:id="rId11"/>
      <w:footerReference w:type="first" r:id="rId12"/>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C4A3" w14:textId="77777777" w:rsidR="00295A27" w:rsidRDefault="00295A27" w:rsidP="00D52BB6">
      <w:r>
        <w:separator/>
      </w:r>
    </w:p>
  </w:endnote>
  <w:endnote w:type="continuationSeparator" w:id="0">
    <w:p w14:paraId="7796FA16" w14:textId="77777777" w:rsidR="00295A27" w:rsidRDefault="00295A27" w:rsidP="00D5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94475"/>
      <w:docPartObj>
        <w:docPartGallery w:val="Page Numbers (Bottom of Page)"/>
        <w:docPartUnique/>
      </w:docPartObj>
    </w:sdtPr>
    <w:sdtEndPr/>
    <w:sdtContent>
      <w:sdt>
        <w:sdtPr>
          <w:id w:val="-1769616900"/>
          <w:docPartObj>
            <w:docPartGallery w:val="Page Numbers (Top of Page)"/>
            <w:docPartUnique/>
          </w:docPartObj>
        </w:sdtPr>
        <w:sdtEndPr/>
        <w:sdtContent>
          <w:p w14:paraId="4D224CB2" w14:textId="77777777" w:rsidR="004F5505" w:rsidRDefault="004F5505" w:rsidP="004F5505">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970"/>
              <w:gridCol w:w="2785"/>
            </w:tblGrid>
            <w:tr w:rsidR="004F5505" w:rsidRPr="0019713B" w14:paraId="3D1F7EFD" w14:textId="77777777" w:rsidTr="003564AD">
              <w:sdt>
                <w:sdtPr>
                  <w:rPr>
                    <w:sz w:val="20"/>
                    <w:szCs w:val="20"/>
                  </w:rPr>
                  <w:alias w:val="Title"/>
                  <w:tag w:val=""/>
                  <w:id w:val="54587394"/>
                  <w:placeholder>
                    <w:docPart w:val="8A035F679FE045D6A32DEF42B3A91976"/>
                  </w:placeholder>
                  <w:dataBinding w:prefixMappings="xmlns:ns0='http://purl.org/dc/elements/1.1/' xmlns:ns1='http://schemas.openxmlformats.org/package/2006/metadata/core-properties' " w:xpath="/ns1:coreProperties[1]/ns0:title[1]" w:storeItemID="{6C3C8BC8-F283-45AE-878A-BAB7291924A1}"/>
                  <w:text/>
                </w:sdtPr>
                <w:sdtEndPr/>
                <w:sdtContent>
                  <w:tc>
                    <w:tcPr>
                      <w:tcW w:w="5035" w:type="dxa"/>
                    </w:tcPr>
                    <w:p w14:paraId="15C2E272" w14:textId="28B05AD5" w:rsidR="004F5505" w:rsidRPr="003564AD" w:rsidRDefault="00375348" w:rsidP="004F5505">
                      <w:pPr>
                        <w:pStyle w:val="Footer"/>
                        <w:rPr>
                          <w:sz w:val="20"/>
                          <w:szCs w:val="20"/>
                        </w:rPr>
                      </w:pPr>
                      <w:r w:rsidRPr="003564AD">
                        <w:rPr>
                          <w:sz w:val="20"/>
                          <w:szCs w:val="20"/>
                        </w:rPr>
                        <w:t>Characterization of Radionuclides in Analytical Equipment</w:t>
                      </w:r>
                    </w:p>
                  </w:tc>
                </w:sdtContent>
              </w:sdt>
              <w:tc>
                <w:tcPr>
                  <w:tcW w:w="2970" w:type="dxa"/>
                </w:tcPr>
                <w:p w14:paraId="7075F82B" w14:textId="73495FD1" w:rsidR="004F5505" w:rsidRPr="003564AD" w:rsidRDefault="004F5505" w:rsidP="004F5505">
                  <w:pPr>
                    <w:pStyle w:val="Footer"/>
                    <w:jc w:val="center"/>
                    <w:rPr>
                      <w:sz w:val="20"/>
                      <w:szCs w:val="20"/>
                    </w:rPr>
                  </w:pPr>
                  <w:r w:rsidRPr="003564AD">
                    <w:rPr>
                      <w:sz w:val="20"/>
                      <w:szCs w:val="20"/>
                    </w:rPr>
                    <w:t>Revision Number:</w:t>
                  </w:r>
                  <w:r w:rsidR="003564AD" w:rsidRPr="003564AD">
                    <w:rPr>
                      <w:sz w:val="20"/>
                      <w:szCs w:val="20"/>
                    </w:rPr>
                    <w:t xml:space="preserve"> 0</w:t>
                  </w:r>
                </w:p>
              </w:tc>
              <w:tc>
                <w:tcPr>
                  <w:tcW w:w="2785" w:type="dxa"/>
                </w:tcPr>
                <w:p w14:paraId="78BE71C5" w14:textId="7240A2F4" w:rsidR="004F5505" w:rsidRPr="0019713B" w:rsidRDefault="004F5505" w:rsidP="004F5505">
                  <w:pPr>
                    <w:pStyle w:val="Footer"/>
                    <w:jc w:val="right"/>
                    <w:rPr>
                      <w:sz w:val="20"/>
                      <w:szCs w:val="20"/>
                    </w:rPr>
                  </w:pPr>
                  <w:r w:rsidRPr="0019713B">
                    <w:rPr>
                      <w:sz w:val="20"/>
                      <w:szCs w:val="20"/>
                    </w:rPr>
                    <w:t xml:space="preserve">Page </w:t>
                  </w:r>
                  <w:r w:rsidRPr="0019713B">
                    <w:rPr>
                      <w:bCs/>
                      <w:sz w:val="20"/>
                      <w:szCs w:val="20"/>
                    </w:rPr>
                    <w:fldChar w:fldCharType="begin"/>
                  </w:r>
                  <w:r w:rsidRPr="0019713B">
                    <w:rPr>
                      <w:bCs/>
                      <w:sz w:val="20"/>
                      <w:szCs w:val="20"/>
                    </w:rPr>
                    <w:instrText xml:space="preserve"> PAGE </w:instrText>
                  </w:r>
                  <w:r w:rsidRPr="0019713B">
                    <w:rPr>
                      <w:bCs/>
                      <w:sz w:val="20"/>
                      <w:szCs w:val="20"/>
                    </w:rPr>
                    <w:fldChar w:fldCharType="separate"/>
                  </w:r>
                  <w:r w:rsidR="00DF29A3">
                    <w:rPr>
                      <w:bCs/>
                      <w:noProof/>
                      <w:sz w:val="20"/>
                      <w:szCs w:val="20"/>
                    </w:rPr>
                    <w:t>3</w:t>
                  </w:r>
                  <w:r w:rsidRPr="0019713B">
                    <w:rPr>
                      <w:bCs/>
                      <w:sz w:val="20"/>
                      <w:szCs w:val="20"/>
                    </w:rPr>
                    <w:fldChar w:fldCharType="end"/>
                  </w:r>
                  <w:r w:rsidRPr="0019713B">
                    <w:rPr>
                      <w:sz w:val="20"/>
                      <w:szCs w:val="20"/>
                    </w:rPr>
                    <w:t xml:space="preserve"> of </w:t>
                  </w:r>
                  <w:r w:rsidRPr="0019713B">
                    <w:rPr>
                      <w:bCs/>
                      <w:sz w:val="20"/>
                      <w:szCs w:val="20"/>
                    </w:rPr>
                    <w:fldChar w:fldCharType="begin"/>
                  </w:r>
                  <w:r w:rsidRPr="0019713B">
                    <w:rPr>
                      <w:bCs/>
                      <w:sz w:val="20"/>
                      <w:szCs w:val="20"/>
                    </w:rPr>
                    <w:instrText xml:space="preserve"> NUMPAGES  </w:instrText>
                  </w:r>
                  <w:r w:rsidRPr="0019713B">
                    <w:rPr>
                      <w:bCs/>
                      <w:sz w:val="20"/>
                      <w:szCs w:val="20"/>
                    </w:rPr>
                    <w:fldChar w:fldCharType="separate"/>
                  </w:r>
                  <w:r w:rsidR="00DF29A3">
                    <w:rPr>
                      <w:bCs/>
                      <w:noProof/>
                      <w:sz w:val="20"/>
                      <w:szCs w:val="20"/>
                    </w:rPr>
                    <w:t>3</w:t>
                  </w:r>
                  <w:r w:rsidRPr="0019713B">
                    <w:rPr>
                      <w:bCs/>
                      <w:sz w:val="20"/>
                      <w:szCs w:val="20"/>
                    </w:rPr>
                    <w:fldChar w:fldCharType="end"/>
                  </w:r>
                </w:p>
              </w:tc>
            </w:tr>
          </w:tbl>
          <w:p w14:paraId="678A121E" w14:textId="26022E35" w:rsidR="004F5505" w:rsidRDefault="00295A27" w:rsidP="004F5505">
            <w:pPr>
              <w:pStyle w:val="Footer"/>
              <w:jc w:val="center"/>
            </w:pPr>
          </w:p>
        </w:sdtContent>
      </w:sdt>
    </w:sdtContent>
  </w:sdt>
  <w:p w14:paraId="0925FC9E" w14:textId="77777777" w:rsidR="009937A1" w:rsidRPr="00B248FA" w:rsidRDefault="009937A1" w:rsidP="00B2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C59C" w14:textId="77777777" w:rsidR="00B248FA" w:rsidRDefault="00B248FA" w:rsidP="00B248FA">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970"/>
      <w:gridCol w:w="2785"/>
    </w:tblGrid>
    <w:tr w:rsidR="0019713B" w:rsidRPr="003564AD" w14:paraId="3D0D7562" w14:textId="77777777" w:rsidTr="00A31C00">
      <w:tc>
        <w:tcPr>
          <w:tcW w:w="5035" w:type="dxa"/>
        </w:tcPr>
        <w:p w14:paraId="5BE8F0F5" w14:textId="7517561C" w:rsidR="0019713B" w:rsidRPr="003564AD" w:rsidRDefault="0019713B" w:rsidP="0019713B">
          <w:pPr>
            <w:pStyle w:val="Footer"/>
            <w:rPr>
              <w:sz w:val="20"/>
              <w:szCs w:val="20"/>
            </w:rPr>
          </w:pPr>
        </w:p>
      </w:tc>
      <w:tc>
        <w:tcPr>
          <w:tcW w:w="2970" w:type="dxa"/>
        </w:tcPr>
        <w:p w14:paraId="1270D4C7" w14:textId="1789E711" w:rsidR="0019713B" w:rsidRPr="003564AD" w:rsidRDefault="0019713B" w:rsidP="0019713B">
          <w:pPr>
            <w:pStyle w:val="Footer"/>
            <w:jc w:val="center"/>
            <w:rPr>
              <w:sz w:val="20"/>
              <w:szCs w:val="20"/>
            </w:rPr>
          </w:pPr>
        </w:p>
      </w:tc>
      <w:tc>
        <w:tcPr>
          <w:tcW w:w="2785" w:type="dxa"/>
        </w:tcPr>
        <w:p w14:paraId="0D9F8DBE" w14:textId="0E8CDF8C" w:rsidR="0019713B" w:rsidRPr="0019713B" w:rsidRDefault="0019713B" w:rsidP="0019713B">
          <w:pPr>
            <w:pStyle w:val="Footer"/>
            <w:jc w:val="right"/>
            <w:rPr>
              <w:sz w:val="20"/>
              <w:szCs w:val="20"/>
            </w:rPr>
          </w:pPr>
          <w:r w:rsidRPr="0019713B">
            <w:rPr>
              <w:sz w:val="20"/>
              <w:szCs w:val="20"/>
            </w:rPr>
            <w:t xml:space="preserve">Page </w:t>
          </w:r>
          <w:r w:rsidRPr="0019713B">
            <w:rPr>
              <w:bCs/>
              <w:sz w:val="20"/>
              <w:szCs w:val="20"/>
            </w:rPr>
            <w:fldChar w:fldCharType="begin"/>
          </w:r>
          <w:r w:rsidRPr="0019713B">
            <w:rPr>
              <w:bCs/>
              <w:sz w:val="20"/>
              <w:szCs w:val="20"/>
            </w:rPr>
            <w:instrText xml:space="preserve"> PAGE </w:instrText>
          </w:r>
          <w:r w:rsidRPr="0019713B">
            <w:rPr>
              <w:bCs/>
              <w:sz w:val="20"/>
              <w:szCs w:val="20"/>
            </w:rPr>
            <w:fldChar w:fldCharType="separate"/>
          </w:r>
          <w:r w:rsidR="00DF29A3">
            <w:rPr>
              <w:bCs/>
              <w:noProof/>
              <w:sz w:val="20"/>
              <w:szCs w:val="20"/>
            </w:rPr>
            <w:t>1</w:t>
          </w:r>
          <w:r w:rsidRPr="0019713B">
            <w:rPr>
              <w:bCs/>
              <w:sz w:val="20"/>
              <w:szCs w:val="20"/>
            </w:rPr>
            <w:fldChar w:fldCharType="end"/>
          </w:r>
          <w:r w:rsidRPr="0019713B">
            <w:rPr>
              <w:sz w:val="20"/>
              <w:szCs w:val="20"/>
            </w:rPr>
            <w:t xml:space="preserve"> of </w:t>
          </w:r>
          <w:r w:rsidRPr="0019713B">
            <w:rPr>
              <w:bCs/>
              <w:sz w:val="20"/>
              <w:szCs w:val="20"/>
            </w:rPr>
            <w:fldChar w:fldCharType="begin"/>
          </w:r>
          <w:r w:rsidRPr="0019713B">
            <w:rPr>
              <w:bCs/>
              <w:sz w:val="20"/>
              <w:szCs w:val="20"/>
            </w:rPr>
            <w:instrText xml:space="preserve"> NUMPAGES  </w:instrText>
          </w:r>
          <w:r w:rsidRPr="0019713B">
            <w:rPr>
              <w:bCs/>
              <w:sz w:val="20"/>
              <w:szCs w:val="20"/>
            </w:rPr>
            <w:fldChar w:fldCharType="separate"/>
          </w:r>
          <w:r w:rsidR="00DF29A3">
            <w:rPr>
              <w:bCs/>
              <w:noProof/>
              <w:sz w:val="20"/>
              <w:szCs w:val="20"/>
            </w:rPr>
            <w:t>3</w:t>
          </w:r>
          <w:r w:rsidRPr="0019713B">
            <w:rPr>
              <w:bCs/>
              <w:sz w:val="20"/>
              <w:szCs w:val="20"/>
            </w:rPr>
            <w:fldChar w:fldCharType="end"/>
          </w:r>
        </w:p>
      </w:tc>
    </w:tr>
  </w:tbl>
  <w:p w14:paraId="2D310AD0" w14:textId="77777777" w:rsidR="00B248FA" w:rsidRDefault="00B248FA" w:rsidP="00B2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1578" w14:textId="77777777" w:rsidR="00295A27" w:rsidRDefault="00295A27" w:rsidP="00D52BB6">
      <w:r>
        <w:separator/>
      </w:r>
    </w:p>
  </w:footnote>
  <w:footnote w:type="continuationSeparator" w:id="0">
    <w:p w14:paraId="1A7B12D5" w14:textId="77777777" w:rsidR="00295A27" w:rsidRDefault="00295A27" w:rsidP="00D5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711"/>
      <w:gridCol w:w="4229"/>
    </w:tblGrid>
    <w:tr w:rsidR="00E17E50" w14:paraId="23D2CB7E" w14:textId="77777777" w:rsidTr="00E01A50">
      <w:tc>
        <w:tcPr>
          <w:tcW w:w="2250" w:type="pct"/>
          <w:vMerge w:val="restart"/>
        </w:tcPr>
        <w:p w14:paraId="6762D415" w14:textId="1654B87C" w:rsidR="00E17E50" w:rsidRDefault="00E17E50" w:rsidP="00E17E50">
          <w:pPr>
            <w:pStyle w:val="Header"/>
          </w:pPr>
          <w:r>
            <w:rPr>
              <w:noProof/>
            </w:rPr>
            <w:drawing>
              <wp:inline distT="0" distB="0" distL="0" distR="0" wp14:anchorId="4B3620D2" wp14:editId="43393332">
                <wp:extent cx="2651760" cy="60525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ation Safety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5791" cy="610741"/>
                        </a:xfrm>
                        <a:prstGeom prst="rect">
                          <a:avLst/>
                        </a:prstGeom>
                      </pic:spPr>
                    </pic:pic>
                  </a:graphicData>
                </a:graphic>
              </wp:inline>
            </w:drawing>
          </w:r>
        </w:p>
      </w:tc>
      <w:tc>
        <w:tcPr>
          <w:tcW w:w="792" w:type="pct"/>
        </w:tcPr>
        <w:p w14:paraId="4277BCDB" w14:textId="399FF8D8" w:rsidR="00E17E50" w:rsidRDefault="00E17E50" w:rsidP="00E01A50">
          <w:pPr>
            <w:pStyle w:val="Header"/>
            <w:tabs>
              <w:tab w:val="clear" w:pos="4680"/>
              <w:tab w:val="clear" w:pos="9360"/>
              <w:tab w:val="left" w:pos="1410"/>
            </w:tabs>
            <w:jc w:val="right"/>
          </w:pPr>
          <w:r>
            <w:t>Title:</w:t>
          </w:r>
        </w:p>
      </w:tc>
      <w:tc>
        <w:tcPr>
          <w:tcW w:w="1958" w:type="pct"/>
        </w:tcPr>
        <w:p w14:paraId="556F245C" w14:textId="366B18FB" w:rsidR="00E17E50" w:rsidRDefault="00295A27" w:rsidP="00E17E50">
          <w:pPr>
            <w:pStyle w:val="Header"/>
            <w:tabs>
              <w:tab w:val="clear" w:pos="4680"/>
              <w:tab w:val="clear" w:pos="9360"/>
              <w:tab w:val="left" w:pos="1410"/>
            </w:tabs>
          </w:pPr>
          <w:sdt>
            <w:sdtPr>
              <w:alias w:val="Title"/>
              <w:tag w:val=""/>
              <w:id w:val="63612743"/>
              <w:placeholder>
                <w:docPart w:val="B5461A810872458780E99CDC3DEDF4D5"/>
              </w:placeholder>
              <w:dataBinding w:prefixMappings="xmlns:ns0='http://purl.org/dc/elements/1.1/' xmlns:ns1='http://schemas.openxmlformats.org/package/2006/metadata/core-properties' " w:xpath="/ns1:coreProperties[1]/ns0:title[1]" w:storeItemID="{6C3C8BC8-F283-45AE-878A-BAB7291924A1}"/>
              <w:text/>
            </w:sdtPr>
            <w:sdtEndPr/>
            <w:sdtContent>
              <w:r w:rsidR="00375348">
                <w:t>Characterization of Radionuclides in Analytical Equipment</w:t>
              </w:r>
            </w:sdtContent>
          </w:sdt>
        </w:p>
      </w:tc>
    </w:tr>
    <w:tr w:rsidR="00375348" w14:paraId="532CBEA8" w14:textId="77777777" w:rsidTr="00E01A50">
      <w:trPr>
        <w:trHeight w:val="323"/>
      </w:trPr>
      <w:tc>
        <w:tcPr>
          <w:tcW w:w="2250" w:type="pct"/>
          <w:vMerge/>
        </w:tcPr>
        <w:p w14:paraId="68D57417" w14:textId="77777777" w:rsidR="00375348" w:rsidRDefault="00375348" w:rsidP="00E17E50">
          <w:pPr>
            <w:pStyle w:val="Header"/>
          </w:pPr>
        </w:p>
      </w:tc>
      <w:tc>
        <w:tcPr>
          <w:tcW w:w="792" w:type="pct"/>
        </w:tcPr>
        <w:p w14:paraId="52EF389B" w14:textId="1FACF9D3" w:rsidR="00375348" w:rsidRDefault="00375348" w:rsidP="00E01A50">
          <w:pPr>
            <w:pStyle w:val="Header"/>
            <w:jc w:val="right"/>
          </w:pPr>
          <w:r>
            <w:t>Revision No.:</w:t>
          </w:r>
        </w:p>
      </w:tc>
      <w:sdt>
        <w:sdtPr>
          <w:id w:val="1207917159"/>
          <w:placeholder>
            <w:docPart w:val="DefaultPlaceholder_1081868574"/>
          </w:placeholder>
        </w:sdtPr>
        <w:sdtEndPr/>
        <w:sdtContent>
          <w:tc>
            <w:tcPr>
              <w:tcW w:w="1958" w:type="pct"/>
            </w:tcPr>
            <w:p w14:paraId="5FD395F5" w14:textId="72A3A513" w:rsidR="00375348" w:rsidRDefault="00800491" w:rsidP="00800491">
              <w:pPr>
                <w:pStyle w:val="Header"/>
              </w:pPr>
              <w:r>
                <w:t>0</w:t>
              </w:r>
            </w:p>
          </w:tc>
        </w:sdtContent>
      </w:sdt>
    </w:tr>
    <w:tr w:rsidR="00E17E50" w14:paraId="57C440C0" w14:textId="77777777" w:rsidTr="00E01A50">
      <w:tc>
        <w:tcPr>
          <w:tcW w:w="2250" w:type="pct"/>
          <w:vMerge/>
        </w:tcPr>
        <w:p w14:paraId="57CF4424" w14:textId="77777777" w:rsidR="00E17E50" w:rsidRDefault="00E17E50" w:rsidP="00E17E50">
          <w:pPr>
            <w:pStyle w:val="Header"/>
          </w:pPr>
        </w:p>
      </w:tc>
      <w:tc>
        <w:tcPr>
          <w:tcW w:w="792" w:type="pct"/>
        </w:tcPr>
        <w:p w14:paraId="3C60442C" w14:textId="4CA7774B" w:rsidR="00E17E50" w:rsidRDefault="00E17E50" w:rsidP="00E01A50">
          <w:pPr>
            <w:pStyle w:val="Header"/>
            <w:jc w:val="right"/>
          </w:pPr>
          <w:r>
            <w:t>Revision Date:</w:t>
          </w:r>
        </w:p>
      </w:tc>
      <w:sdt>
        <w:sdtPr>
          <w:id w:val="525076341"/>
          <w:placeholder>
            <w:docPart w:val="DefaultPlaceholder_1081868576"/>
          </w:placeholder>
          <w:date w:fullDate="2018-09-13T00:00:00Z">
            <w:dateFormat w:val="M/d/yyyy"/>
            <w:lid w:val="en-US"/>
            <w:storeMappedDataAs w:val="dateTime"/>
            <w:calendar w:val="gregorian"/>
          </w:date>
        </w:sdtPr>
        <w:sdtEndPr/>
        <w:sdtContent>
          <w:tc>
            <w:tcPr>
              <w:tcW w:w="1958" w:type="pct"/>
            </w:tcPr>
            <w:p w14:paraId="4575EAFA" w14:textId="0CB4B801" w:rsidR="00E17E50" w:rsidRDefault="00800491" w:rsidP="00800491">
              <w:pPr>
                <w:pStyle w:val="Header"/>
              </w:pPr>
              <w:r>
                <w:t>9/13/2018</w:t>
              </w:r>
            </w:p>
          </w:tc>
        </w:sdtContent>
      </w:sdt>
    </w:tr>
  </w:tbl>
  <w:p w14:paraId="44557C84" w14:textId="77777777" w:rsidR="00B248FA" w:rsidRDefault="00B248FA" w:rsidP="00B248FA">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432"/>
    <w:multiLevelType w:val="hybridMultilevel"/>
    <w:tmpl w:val="9202D11E"/>
    <w:lvl w:ilvl="0" w:tplc="31723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D3549"/>
    <w:multiLevelType w:val="multilevel"/>
    <w:tmpl w:val="7FEE5532"/>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626738D"/>
    <w:multiLevelType w:val="hybridMultilevel"/>
    <w:tmpl w:val="614CFF26"/>
    <w:lvl w:ilvl="0" w:tplc="DAD47E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7667F"/>
    <w:multiLevelType w:val="hybridMultilevel"/>
    <w:tmpl w:val="336626A6"/>
    <w:lvl w:ilvl="0" w:tplc="67C69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15FAE"/>
    <w:multiLevelType w:val="hybridMultilevel"/>
    <w:tmpl w:val="A94A22BC"/>
    <w:lvl w:ilvl="0" w:tplc="42A05E5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059B1"/>
    <w:multiLevelType w:val="hybridMultilevel"/>
    <w:tmpl w:val="CEC03666"/>
    <w:lvl w:ilvl="0" w:tplc="67C69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077F1"/>
    <w:multiLevelType w:val="hybridMultilevel"/>
    <w:tmpl w:val="BEBA9EB2"/>
    <w:lvl w:ilvl="0" w:tplc="31723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4234A"/>
    <w:multiLevelType w:val="hybridMultilevel"/>
    <w:tmpl w:val="85F6B57C"/>
    <w:lvl w:ilvl="0" w:tplc="9B4AE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7208B2"/>
    <w:multiLevelType w:val="hybridMultilevel"/>
    <w:tmpl w:val="A94A22BC"/>
    <w:lvl w:ilvl="0" w:tplc="42A05E5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82AC0"/>
    <w:multiLevelType w:val="hybridMultilevel"/>
    <w:tmpl w:val="0C1618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A764BB"/>
    <w:multiLevelType w:val="hybridMultilevel"/>
    <w:tmpl w:val="DBD4E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151DB"/>
    <w:multiLevelType w:val="hybridMultilevel"/>
    <w:tmpl w:val="76204282"/>
    <w:lvl w:ilvl="0" w:tplc="D9ECD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B3678E"/>
    <w:multiLevelType w:val="hybridMultilevel"/>
    <w:tmpl w:val="89C8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E5063"/>
    <w:multiLevelType w:val="hybridMultilevel"/>
    <w:tmpl w:val="336626A6"/>
    <w:lvl w:ilvl="0" w:tplc="67C69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8467A6"/>
    <w:multiLevelType w:val="hybridMultilevel"/>
    <w:tmpl w:val="9202D11E"/>
    <w:lvl w:ilvl="0" w:tplc="31723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3"/>
  </w:num>
  <w:num w:numId="4">
    <w:abstractNumId w:val="9"/>
  </w:num>
  <w:num w:numId="5">
    <w:abstractNumId w:val="7"/>
  </w:num>
  <w:num w:numId="6">
    <w:abstractNumId w:val="14"/>
  </w:num>
  <w:num w:numId="7">
    <w:abstractNumId w:val="12"/>
  </w:num>
  <w:num w:numId="8">
    <w:abstractNumId w:val="10"/>
  </w:num>
  <w:num w:numId="9">
    <w:abstractNumId w:val="2"/>
  </w:num>
  <w:num w:numId="10">
    <w:abstractNumId w:val="3"/>
  </w:num>
  <w:num w:numId="11">
    <w:abstractNumId w:val="5"/>
  </w:num>
  <w:num w:numId="12">
    <w:abstractNumId w:val="0"/>
  </w:num>
  <w:num w:numId="13">
    <w:abstractNumId w:val="8"/>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B6"/>
    <w:rsid w:val="00042041"/>
    <w:rsid w:val="00061009"/>
    <w:rsid w:val="000B306D"/>
    <w:rsid w:val="000E21FC"/>
    <w:rsid w:val="001437B5"/>
    <w:rsid w:val="001618E3"/>
    <w:rsid w:val="001743BF"/>
    <w:rsid w:val="0018265B"/>
    <w:rsid w:val="0019713B"/>
    <w:rsid w:val="001B7552"/>
    <w:rsid w:val="001C50AE"/>
    <w:rsid w:val="001C586E"/>
    <w:rsid w:val="001E0EEF"/>
    <w:rsid w:val="001E165E"/>
    <w:rsid w:val="001F47C8"/>
    <w:rsid w:val="002003F7"/>
    <w:rsid w:val="0020774E"/>
    <w:rsid w:val="002802E3"/>
    <w:rsid w:val="002830F6"/>
    <w:rsid w:val="0029474D"/>
    <w:rsid w:val="00295A27"/>
    <w:rsid w:val="002A178D"/>
    <w:rsid w:val="002A2138"/>
    <w:rsid w:val="002D55AC"/>
    <w:rsid w:val="002E1853"/>
    <w:rsid w:val="00317E64"/>
    <w:rsid w:val="003564AD"/>
    <w:rsid w:val="00375348"/>
    <w:rsid w:val="003A61F0"/>
    <w:rsid w:val="003C2DEA"/>
    <w:rsid w:val="003C6284"/>
    <w:rsid w:val="003E3453"/>
    <w:rsid w:val="003E698A"/>
    <w:rsid w:val="003E7500"/>
    <w:rsid w:val="0041202B"/>
    <w:rsid w:val="00426380"/>
    <w:rsid w:val="004423F2"/>
    <w:rsid w:val="00467CEC"/>
    <w:rsid w:val="004D607A"/>
    <w:rsid w:val="004E2E4C"/>
    <w:rsid w:val="004F5505"/>
    <w:rsid w:val="00534CB0"/>
    <w:rsid w:val="00537E0C"/>
    <w:rsid w:val="00597961"/>
    <w:rsid w:val="005B05D7"/>
    <w:rsid w:val="005F2DE6"/>
    <w:rsid w:val="00661FEE"/>
    <w:rsid w:val="00684761"/>
    <w:rsid w:val="006957AD"/>
    <w:rsid w:val="006A0B0C"/>
    <w:rsid w:val="006A55EA"/>
    <w:rsid w:val="006D4DD9"/>
    <w:rsid w:val="006D7C92"/>
    <w:rsid w:val="00736449"/>
    <w:rsid w:val="00741668"/>
    <w:rsid w:val="007773CD"/>
    <w:rsid w:val="007947BF"/>
    <w:rsid w:val="007C1FD0"/>
    <w:rsid w:val="007C27B6"/>
    <w:rsid w:val="007C3473"/>
    <w:rsid w:val="007C6303"/>
    <w:rsid w:val="00800491"/>
    <w:rsid w:val="00814D3A"/>
    <w:rsid w:val="00873EED"/>
    <w:rsid w:val="00895DBB"/>
    <w:rsid w:val="008D3A9F"/>
    <w:rsid w:val="008D60F8"/>
    <w:rsid w:val="008E73BD"/>
    <w:rsid w:val="008F1BBC"/>
    <w:rsid w:val="00907BDF"/>
    <w:rsid w:val="0091704C"/>
    <w:rsid w:val="0095781D"/>
    <w:rsid w:val="00975963"/>
    <w:rsid w:val="009937A1"/>
    <w:rsid w:val="009C12A6"/>
    <w:rsid w:val="009D0AF7"/>
    <w:rsid w:val="009D25C8"/>
    <w:rsid w:val="00A3460A"/>
    <w:rsid w:val="00A45047"/>
    <w:rsid w:val="00A74099"/>
    <w:rsid w:val="00A904B2"/>
    <w:rsid w:val="00A954C7"/>
    <w:rsid w:val="00AB5499"/>
    <w:rsid w:val="00AE0972"/>
    <w:rsid w:val="00AF4622"/>
    <w:rsid w:val="00B054B8"/>
    <w:rsid w:val="00B114E0"/>
    <w:rsid w:val="00B248FA"/>
    <w:rsid w:val="00B30AEA"/>
    <w:rsid w:val="00B450BF"/>
    <w:rsid w:val="00B97050"/>
    <w:rsid w:val="00BA3038"/>
    <w:rsid w:val="00C06F51"/>
    <w:rsid w:val="00C2617C"/>
    <w:rsid w:val="00C55BC4"/>
    <w:rsid w:val="00C7224C"/>
    <w:rsid w:val="00C76B18"/>
    <w:rsid w:val="00C96CE0"/>
    <w:rsid w:val="00CB507F"/>
    <w:rsid w:val="00CF6523"/>
    <w:rsid w:val="00D44940"/>
    <w:rsid w:val="00D52BB6"/>
    <w:rsid w:val="00D77D3E"/>
    <w:rsid w:val="00D84B9E"/>
    <w:rsid w:val="00DE4413"/>
    <w:rsid w:val="00DF29A3"/>
    <w:rsid w:val="00DF39ED"/>
    <w:rsid w:val="00E01A50"/>
    <w:rsid w:val="00E17E50"/>
    <w:rsid w:val="00E5172B"/>
    <w:rsid w:val="00E62843"/>
    <w:rsid w:val="00E67243"/>
    <w:rsid w:val="00E750F2"/>
    <w:rsid w:val="00EB43AE"/>
    <w:rsid w:val="00F23A37"/>
    <w:rsid w:val="00F25356"/>
    <w:rsid w:val="00F326A4"/>
    <w:rsid w:val="00F7196C"/>
    <w:rsid w:val="00F96E7A"/>
    <w:rsid w:val="00F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D51F"/>
  <w15:chartTrackingRefBased/>
  <w15:docId w15:val="{1F87C227-DDA8-484E-AE6A-9D4A0BDD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DF"/>
    <w:rPr>
      <w:sz w:val="24"/>
      <w:szCs w:val="24"/>
    </w:rPr>
  </w:style>
  <w:style w:type="paragraph" w:styleId="Heading1">
    <w:name w:val="heading 1"/>
    <w:basedOn w:val="Normal"/>
    <w:next w:val="Normal"/>
    <w:link w:val="Heading1Char"/>
    <w:uiPriority w:val="9"/>
    <w:qFormat/>
    <w:rsid w:val="00AE0972"/>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972"/>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0972"/>
    <w:pPr>
      <w:keepNext/>
      <w:keepLines/>
      <w:numPr>
        <w:ilvl w:val="2"/>
        <w:numId w:val="1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E0972"/>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0972"/>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0972"/>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0972"/>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0972"/>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0972"/>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BB6"/>
    <w:pPr>
      <w:tabs>
        <w:tab w:val="center" w:pos="4680"/>
        <w:tab w:val="right" w:pos="9360"/>
      </w:tabs>
    </w:pPr>
  </w:style>
  <w:style w:type="character" w:customStyle="1" w:styleId="HeaderChar">
    <w:name w:val="Header Char"/>
    <w:link w:val="Header"/>
    <w:uiPriority w:val="99"/>
    <w:rsid w:val="00D52BB6"/>
    <w:rPr>
      <w:sz w:val="24"/>
      <w:szCs w:val="24"/>
    </w:rPr>
  </w:style>
  <w:style w:type="paragraph" w:styleId="Footer">
    <w:name w:val="footer"/>
    <w:basedOn w:val="Normal"/>
    <w:link w:val="FooterChar"/>
    <w:uiPriority w:val="99"/>
    <w:unhideWhenUsed/>
    <w:rsid w:val="00D52BB6"/>
    <w:pPr>
      <w:tabs>
        <w:tab w:val="center" w:pos="4680"/>
        <w:tab w:val="right" w:pos="9360"/>
      </w:tabs>
    </w:pPr>
  </w:style>
  <w:style w:type="character" w:customStyle="1" w:styleId="FooterChar">
    <w:name w:val="Footer Char"/>
    <w:link w:val="Footer"/>
    <w:uiPriority w:val="99"/>
    <w:rsid w:val="00D52BB6"/>
    <w:rPr>
      <w:sz w:val="24"/>
      <w:szCs w:val="24"/>
    </w:rPr>
  </w:style>
  <w:style w:type="table" w:styleId="TableGrid">
    <w:name w:val="Table Grid"/>
    <w:basedOn w:val="TableNormal"/>
    <w:uiPriority w:val="39"/>
    <w:rsid w:val="00F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3F2"/>
    <w:pPr>
      <w:ind w:left="720"/>
    </w:pPr>
  </w:style>
  <w:style w:type="paragraph" w:styleId="BalloonText">
    <w:name w:val="Balloon Text"/>
    <w:basedOn w:val="Normal"/>
    <w:link w:val="BalloonTextChar"/>
    <w:uiPriority w:val="99"/>
    <w:semiHidden/>
    <w:unhideWhenUsed/>
    <w:rsid w:val="00CF6523"/>
    <w:rPr>
      <w:rFonts w:ascii="Segoe UI" w:hAnsi="Segoe UI" w:cs="Segoe UI"/>
      <w:sz w:val="18"/>
      <w:szCs w:val="18"/>
    </w:rPr>
  </w:style>
  <w:style w:type="character" w:customStyle="1" w:styleId="BalloonTextChar">
    <w:name w:val="Balloon Text Char"/>
    <w:link w:val="BalloonText"/>
    <w:uiPriority w:val="99"/>
    <w:semiHidden/>
    <w:rsid w:val="00CF6523"/>
    <w:rPr>
      <w:rFonts w:ascii="Segoe UI" w:hAnsi="Segoe UI" w:cs="Segoe UI"/>
      <w:sz w:val="18"/>
      <w:szCs w:val="18"/>
    </w:rPr>
  </w:style>
  <w:style w:type="character" w:styleId="CommentReference">
    <w:name w:val="annotation reference"/>
    <w:basedOn w:val="DefaultParagraphFont"/>
    <w:uiPriority w:val="99"/>
    <w:semiHidden/>
    <w:unhideWhenUsed/>
    <w:rsid w:val="008D3A9F"/>
    <w:rPr>
      <w:sz w:val="16"/>
      <w:szCs w:val="16"/>
    </w:rPr>
  </w:style>
  <w:style w:type="paragraph" w:styleId="CommentText">
    <w:name w:val="annotation text"/>
    <w:basedOn w:val="Normal"/>
    <w:link w:val="CommentTextChar"/>
    <w:uiPriority w:val="99"/>
    <w:semiHidden/>
    <w:unhideWhenUsed/>
    <w:rsid w:val="008D3A9F"/>
    <w:rPr>
      <w:sz w:val="20"/>
      <w:szCs w:val="20"/>
    </w:rPr>
  </w:style>
  <w:style w:type="character" w:customStyle="1" w:styleId="CommentTextChar">
    <w:name w:val="Comment Text Char"/>
    <w:basedOn w:val="DefaultParagraphFont"/>
    <w:link w:val="CommentText"/>
    <w:uiPriority w:val="99"/>
    <w:semiHidden/>
    <w:rsid w:val="008D3A9F"/>
  </w:style>
  <w:style w:type="paragraph" w:styleId="CommentSubject">
    <w:name w:val="annotation subject"/>
    <w:basedOn w:val="CommentText"/>
    <w:next w:val="CommentText"/>
    <w:link w:val="CommentSubjectChar"/>
    <w:uiPriority w:val="99"/>
    <w:semiHidden/>
    <w:unhideWhenUsed/>
    <w:rsid w:val="008D3A9F"/>
    <w:rPr>
      <w:b/>
      <w:bCs/>
    </w:rPr>
  </w:style>
  <w:style w:type="character" w:customStyle="1" w:styleId="CommentSubjectChar">
    <w:name w:val="Comment Subject Char"/>
    <w:basedOn w:val="CommentTextChar"/>
    <w:link w:val="CommentSubject"/>
    <w:uiPriority w:val="99"/>
    <w:semiHidden/>
    <w:rsid w:val="008D3A9F"/>
    <w:rPr>
      <w:b/>
      <w:bCs/>
    </w:rPr>
  </w:style>
  <w:style w:type="character" w:styleId="PlaceholderText">
    <w:name w:val="Placeholder Text"/>
    <w:basedOn w:val="DefaultParagraphFont"/>
    <w:uiPriority w:val="99"/>
    <w:semiHidden/>
    <w:rsid w:val="00F25356"/>
    <w:rPr>
      <w:color w:val="808080"/>
    </w:rPr>
  </w:style>
  <w:style w:type="character" w:styleId="Emphasis">
    <w:name w:val="Emphasis"/>
    <w:basedOn w:val="DefaultParagraphFont"/>
    <w:uiPriority w:val="20"/>
    <w:qFormat/>
    <w:rsid w:val="00375348"/>
    <w:rPr>
      <w:i/>
      <w:iCs/>
    </w:rPr>
  </w:style>
  <w:style w:type="character" w:styleId="Hyperlink">
    <w:name w:val="Hyperlink"/>
    <w:basedOn w:val="DefaultParagraphFont"/>
    <w:uiPriority w:val="99"/>
    <w:unhideWhenUsed/>
    <w:rsid w:val="001E165E"/>
    <w:rPr>
      <w:color w:val="0563C1" w:themeColor="hyperlink"/>
      <w:u w:val="single"/>
    </w:rPr>
  </w:style>
  <w:style w:type="character" w:customStyle="1" w:styleId="Heading1Char">
    <w:name w:val="Heading 1 Char"/>
    <w:basedOn w:val="DefaultParagraphFont"/>
    <w:link w:val="Heading1"/>
    <w:uiPriority w:val="9"/>
    <w:rsid w:val="00AE09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9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09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09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AE09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AE097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E09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E09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0972"/>
    <w:rPr>
      <w:rFonts w:asciiTheme="majorHAnsi" w:eastAsiaTheme="majorEastAsia" w:hAnsiTheme="majorHAnsi" w:cstheme="majorBidi"/>
      <w:i/>
      <w:iCs/>
      <w:color w:val="272727" w:themeColor="text1" w:themeTint="D8"/>
      <w:sz w:val="21"/>
      <w:szCs w:val="21"/>
    </w:rPr>
  </w:style>
  <w:style w:type="table" w:styleId="PlainTable5">
    <w:name w:val="Plain Table 5"/>
    <w:basedOn w:val="TableNormal"/>
    <w:uiPriority w:val="45"/>
    <w:rsid w:val="004E2E4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doc-collections/cfr/part020/part020-app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rc.gov/reading-rm/doc-collections/cfr/part020/part020-appc.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8"/>
        <w:category>
          <w:name w:val="General"/>
          <w:gallery w:val="placeholder"/>
        </w:category>
        <w:types>
          <w:type w:val="bbPlcHdr"/>
        </w:types>
        <w:behaviors>
          <w:behavior w:val="content"/>
        </w:behaviors>
        <w:guid w:val="{7EB72C05-8804-4CEA-9ADF-A656ED0D9A1D}"/>
      </w:docPartPr>
      <w:docPartBody>
        <w:p w:rsidR="001A6FAD" w:rsidRDefault="00E833C0">
          <w:r w:rsidRPr="004875CE">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6"/>
        <w:category>
          <w:name w:val="General"/>
          <w:gallery w:val="placeholder"/>
        </w:category>
        <w:types>
          <w:type w:val="bbPlcHdr"/>
        </w:types>
        <w:behaviors>
          <w:behavior w:val="content"/>
        </w:behaviors>
        <w:guid w:val="{99CCA08A-CBD8-4E8E-9CAB-456D08D77141}"/>
      </w:docPartPr>
      <w:docPartBody>
        <w:p w:rsidR="001A6FAD" w:rsidRDefault="00E833C0">
          <w:r w:rsidRPr="004875CE">
            <w:rPr>
              <w:rStyle w:val="PlaceholderText"/>
            </w:rPr>
            <w:t>Click here to enter a date.</w:t>
          </w:r>
        </w:p>
      </w:docPartBody>
    </w:docPart>
    <w:docPart>
      <w:docPartPr>
        <w:name w:val="B6C0634BE7EE492EBA278550F4DFEAB5"/>
        <w:category>
          <w:name w:val="General"/>
          <w:gallery w:val="placeholder"/>
        </w:category>
        <w:types>
          <w:type w:val="bbPlcHdr"/>
        </w:types>
        <w:behaviors>
          <w:behavior w:val="content"/>
        </w:behaviors>
        <w:guid w:val="{B2A7E937-4A0E-4D4F-B64C-4B30D4CD126C}"/>
      </w:docPartPr>
      <w:docPartBody>
        <w:p w:rsidR="001A6FAD" w:rsidRDefault="00E833C0" w:rsidP="00E833C0">
          <w:pPr>
            <w:pStyle w:val="B6C0634BE7EE492EBA278550F4DFEAB5"/>
          </w:pPr>
          <w:r w:rsidRPr="004875CE">
            <w:rPr>
              <w:rStyle w:val="PlaceholderText"/>
            </w:rPr>
            <w:t>Click here to enter a date.</w:t>
          </w:r>
        </w:p>
      </w:docPartBody>
    </w:docPart>
    <w:docPart>
      <w:docPartPr>
        <w:name w:val="B5461A810872458780E99CDC3DEDF4D5"/>
        <w:category>
          <w:name w:val="General"/>
          <w:gallery w:val="placeholder"/>
        </w:category>
        <w:types>
          <w:type w:val="bbPlcHdr"/>
        </w:types>
        <w:behaviors>
          <w:behavior w:val="content"/>
        </w:behaviors>
        <w:guid w:val="{F4CCAA8E-5A72-423C-868E-72832AD40397}"/>
      </w:docPartPr>
      <w:docPartBody>
        <w:p w:rsidR="00AD76A1" w:rsidRDefault="000472E7" w:rsidP="000472E7">
          <w:pPr>
            <w:pStyle w:val="B5461A810872458780E99CDC3DEDF4D5"/>
          </w:pPr>
          <w:r w:rsidRPr="00F3572B">
            <w:rPr>
              <w:rStyle w:val="PlaceholderText"/>
            </w:rPr>
            <w:t>[Title]</w:t>
          </w:r>
        </w:p>
      </w:docPartBody>
    </w:docPart>
    <w:docPart>
      <w:docPartPr>
        <w:name w:val="8A035F679FE045D6A32DEF42B3A91976"/>
        <w:category>
          <w:name w:val="General"/>
          <w:gallery w:val="placeholder"/>
        </w:category>
        <w:types>
          <w:type w:val="bbPlcHdr"/>
        </w:types>
        <w:behaviors>
          <w:behavior w:val="content"/>
        </w:behaviors>
        <w:guid w:val="{9F60A6C8-7A9B-48D1-8E03-7B0CF8E13CBC}"/>
      </w:docPartPr>
      <w:docPartBody>
        <w:p w:rsidR="00AD76A1" w:rsidRDefault="000472E7">
          <w:r w:rsidRPr="00F3572B">
            <w:rPr>
              <w:rStyle w:val="PlaceholderText"/>
            </w:rPr>
            <w:t>[Title]</w:t>
          </w:r>
        </w:p>
      </w:docPartBody>
    </w:docPart>
    <w:docPart>
      <w:docPartPr>
        <w:name w:val="DefaultPlaceholder_1081868574"/>
        <w:category>
          <w:name w:val="General"/>
          <w:gallery w:val="placeholder"/>
        </w:category>
        <w:types>
          <w:type w:val="bbPlcHdr"/>
        </w:types>
        <w:behaviors>
          <w:behavior w:val="content"/>
        </w:behaviors>
        <w:guid w:val="{B3E46D8C-A5B5-45D6-AD6E-419DEB690CEC}"/>
      </w:docPartPr>
      <w:docPartBody>
        <w:p w:rsidR="00E243EB" w:rsidRDefault="00AD76A1">
          <w:r w:rsidRPr="00311601">
            <w:rPr>
              <w:rStyle w:val="PlaceholderText"/>
            </w:rPr>
            <w:t>Click here to enter text.</w:t>
          </w:r>
        </w:p>
      </w:docPartBody>
    </w:docPart>
    <w:docPart>
      <w:docPartPr>
        <w:name w:val="14D4055A18034D63A1508D53B8D347E3"/>
        <w:category>
          <w:name w:val="General"/>
          <w:gallery w:val="placeholder"/>
        </w:category>
        <w:types>
          <w:type w:val="bbPlcHdr"/>
        </w:types>
        <w:behaviors>
          <w:behavior w:val="content"/>
        </w:behaviors>
        <w:guid w:val="{ABF19141-9BE4-4DF2-A80A-4BC8219EF307}"/>
      </w:docPartPr>
      <w:docPartBody>
        <w:p w:rsidR="00E243EB" w:rsidRDefault="00AD76A1" w:rsidP="00AD76A1">
          <w:pPr>
            <w:pStyle w:val="14D4055A18034D63A1508D53B8D347E3"/>
          </w:pPr>
          <w:r w:rsidRPr="00311601">
            <w:rPr>
              <w:rStyle w:val="PlaceholderText"/>
            </w:rPr>
            <w:t>Click here to enter text.</w:t>
          </w:r>
        </w:p>
      </w:docPartBody>
    </w:docPart>
    <w:docPart>
      <w:docPartPr>
        <w:name w:val="4BD15E5FF6F9439081B283E655851548"/>
        <w:category>
          <w:name w:val="General"/>
          <w:gallery w:val="placeholder"/>
        </w:category>
        <w:types>
          <w:type w:val="bbPlcHdr"/>
        </w:types>
        <w:behaviors>
          <w:behavior w:val="content"/>
        </w:behaviors>
        <w:guid w:val="{7662D26A-F3A5-4A36-B8A4-25016DDD41FC}"/>
      </w:docPartPr>
      <w:docPartBody>
        <w:p w:rsidR="00E243EB" w:rsidRDefault="00AD76A1" w:rsidP="00AD76A1">
          <w:pPr>
            <w:pStyle w:val="4BD15E5FF6F9439081B283E655851548"/>
          </w:pPr>
          <w:r w:rsidRPr="00311601">
            <w:rPr>
              <w:rStyle w:val="PlaceholderText"/>
            </w:rPr>
            <w:t>Click here to enter text.</w:t>
          </w:r>
        </w:p>
      </w:docPartBody>
    </w:docPart>
    <w:docPart>
      <w:docPartPr>
        <w:name w:val="31D6570EE81F4D02B773217ED47DB332"/>
        <w:category>
          <w:name w:val="General"/>
          <w:gallery w:val="placeholder"/>
        </w:category>
        <w:types>
          <w:type w:val="bbPlcHdr"/>
        </w:types>
        <w:behaviors>
          <w:behavior w:val="content"/>
        </w:behaviors>
        <w:guid w:val="{D14D386A-EF93-4590-B73F-2834394C3F85}"/>
      </w:docPartPr>
      <w:docPartBody>
        <w:p w:rsidR="00E243EB" w:rsidRDefault="00AD76A1" w:rsidP="00AD76A1">
          <w:pPr>
            <w:pStyle w:val="31D6570EE81F4D02B773217ED47DB332"/>
          </w:pPr>
          <w:r w:rsidRPr="00311601">
            <w:rPr>
              <w:rStyle w:val="PlaceholderText"/>
            </w:rPr>
            <w:t>Click here to enter text.</w:t>
          </w:r>
        </w:p>
      </w:docPartBody>
    </w:docPart>
    <w:docPart>
      <w:docPartPr>
        <w:name w:val="F5435E830D584179AE13A28772CA1439"/>
        <w:category>
          <w:name w:val="General"/>
          <w:gallery w:val="placeholder"/>
        </w:category>
        <w:types>
          <w:type w:val="bbPlcHdr"/>
        </w:types>
        <w:behaviors>
          <w:behavior w:val="content"/>
        </w:behaviors>
        <w:guid w:val="{C2F4E10E-337D-4988-8871-EE0FAC8E939A}"/>
      </w:docPartPr>
      <w:docPartBody>
        <w:p w:rsidR="00E243EB" w:rsidRDefault="00AD76A1" w:rsidP="00AD76A1">
          <w:pPr>
            <w:pStyle w:val="F5435E830D584179AE13A28772CA1439"/>
          </w:pPr>
          <w:r w:rsidRPr="004875CE">
            <w:rPr>
              <w:rStyle w:val="PlaceholderText"/>
            </w:rPr>
            <w:t>Enter any content that you want to repeat, including other content controls. You can also insert this control around table rows in order to repeat parts of a table.</w:t>
          </w:r>
        </w:p>
      </w:docPartBody>
    </w:docPart>
    <w:docPart>
      <w:docPartPr>
        <w:name w:val="F81198D5257145B597C393125BD227C5"/>
        <w:category>
          <w:name w:val="General"/>
          <w:gallery w:val="placeholder"/>
        </w:category>
        <w:types>
          <w:type w:val="bbPlcHdr"/>
        </w:types>
        <w:behaviors>
          <w:behavior w:val="content"/>
        </w:behaviors>
        <w:guid w:val="{F75F8D78-C3E8-4393-8B19-4D6D92034990}"/>
      </w:docPartPr>
      <w:docPartBody>
        <w:p w:rsidR="00E243EB" w:rsidRDefault="00AD76A1" w:rsidP="00AD76A1">
          <w:pPr>
            <w:pStyle w:val="F81198D5257145B597C393125BD227C5"/>
          </w:pPr>
          <w:r w:rsidRPr="004875C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C0"/>
    <w:rsid w:val="00043C7D"/>
    <w:rsid w:val="000472E7"/>
    <w:rsid w:val="0019284A"/>
    <w:rsid w:val="001A46ED"/>
    <w:rsid w:val="001A6FAD"/>
    <w:rsid w:val="002B48A3"/>
    <w:rsid w:val="00576824"/>
    <w:rsid w:val="007C733E"/>
    <w:rsid w:val="009C7AD7"/>
    <w:rsid w:val="00A17BA0"/>
    <w:rsid w:val="00AD76A1"/>
    <w:rsid w:val="00E243EB"/>
    <w:rsid w:val="00E8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6A1"/>
    <w:rPr>
      <w:color w:val="808080"/>
    </w:rPr>
  </w:style>
  <w:style w:type="paragraph" w:customStyle="1" w:styleId="A6B0AE5590CE49AA8D1FD46C315632BE">
    <w:name w:val="A6B0AE5590CE49AA8D1FD46C315632BE"/>
    <w:rsid w:val="00E833C0"/>
  </w:style>
  <w:style w:type="paragraph" w:customStyle="1" w:styleId="754EADA319EA41CA8EC68B3D201F99C6">
    <w:name w:val="754EADA319EA41CA8EC68B3D201F99C6"/>
    <w:rsid w:val="00E833C0"/>
  </w:style>
  <w:style w:type="paragraph" w:customStyle="1" w:styleId="FF4BC4DE97AD408F8F9EF8E7166EF4AF">
    <w:name w:val="FF4BC4DE97AD408F8F9EF8E7166EF4AF"/>
    <w:rsid w:val="00E833C0"/>
  </w:style>
  <w:style w:type="paragraph" w:customStyle="1" w:styleId="B6C0634BE7EE492EBA278550F4DFEAB5">
    <w:name w:val="B6C0634BE7EE492EBA278550F4DFEAB5"/>
    <w:rsid w:val="00E833C0"/>
  </w:style>
  <w:style w:type="paragraph" w:customStyle="1" w:styleId="4AAD0CF5C7B14212B39D7F55125C13CB">
    <w:name w:val="4AAD0CF5C7B14212B39D7F55125C13CB"/>
    <w:rsid w:val="007C733E"/>
  </w:style>
  <w:style w:type="paragraph" w:customStyle="1" w:styleId="4B26E3B34D3B4DE78B990CCDCF51871D">
    <w:name w:val="4B26E3B34D3B4DE78B990CCDCF51871D"/>
    <w:rsid w:val="00A17BA0"/>
  </w:style>
  <w:style w:type="paragraph" w:customStyle="1" w:styleId="603D411EDD9847009643ED913FF41961">
    <w:name w:val="603D411EDD9847009643ED913FF41961"/>
    <w:rsid w:val="000472E7"/>
  </w:style>
  <w:style w:type="paragraph" w:customStyle="1" w:styleId="B5461A810872458780E99CDC3DEDF4D5">
    <w:name w:val="B5461A810872458780E99CDC3DEDF4D5"/>
    <w:rsid w:val="000472E7"/>
  </w:style>
  <w:style w:type="paragraph" w:customStyle="1" w:styleId="5F773A65D6EB44B6BDFDA96007554532">
    <w:name w:val="5F773A65D6EB44B6BDFDA96007554532"/>
    <w:rsid w:val="00AD76A1"/>
  </w:style>
  <w:style w:type="paragraph" w:customStyle="1" w:styleId="3E44387820C947E1832CF119823F174D">
    <w:name w:val="3E44387820C947E1832CF119823F174D"/>
    <w:rsid w:val="00AD76A1"/>
  </w:style>
  <w:style w:type="paragraph" w:customStyle="1" w:styleId="D17271E9BFAA4C96AF390FC62A825483">
    <w:name w:val="D17271E9BFAA4C96AF390FC62A825483"/>
    <w:rsid w:val="00AD76A1"/>
  </w:style>
  <w:style w:type="paragraph" w:customStyle="1" w:styleId="A8A7E1F198C148A4B7EBB8089FB4B5CA">
    <w:name w:val="A8A7E1F198C148A4B7EBB8089FB4B5CA"/>
    <w:rsid w:val="00AD76A1"/>
  </w:style>
  <w:style w:type="paragraph" w:customStyle="1" w:styleId="14D4055A18034D63A1508D53B8D347E3">
    <w:name w:val="14D4055A18034D63A1508D53B8D347E3"/>
    <w:rsid w:val="00AD76A1"/>
  </w:style>
  <w:style w:type="paragraph" w:customStyle="1" w:styleId="4BD15E5FF6F9439081B283E655851548">
    <w:name w:val="4BD15E5FF6F9439081B283E655851548"/>
    <w:rsid w:val="00AD76A1"/>
  </w:style>
  <w:style w:type="paragraph" w:customStyle="1" w:styleId="31D6570EE81F4D02B773217ED47DB332">
    <w:name w:val="31D6570EE81F4D02B773217ED47DB332"/>
    <w:rsid w:val="00AD76A1"/>
  </w:style>
  <w:style w:type="paragraph" w:customStyle="1" w:styleId="6715CF913F004ECBBB2728C98894EEF5">
    <w:name w:val="6715CF913F004ECBBB2728C98894EEF5"/>
    <w:rsid w:val="00AD76A1"/>
  </w:style>
  <w:style w:type="paragraph" w:customStyle="1" w:styleId="3C11373E20504420BCB82C6C86AA6E0A">
    <w:name w:val="3C11373E20504420BCB82C6C86AA6E0A"/>
    <w:rsid w:val="00AD76A1"/>
  </w:style>
  <w:style w:type="paragraph" w:customStyle="1" w:styleId="F5435E830D584179AE13A28772CA1439">
    <w:name w:val="F5435E830D584179AE13A28772CA1439"/>
    <w:rsid w:val="00AD76A1"/>
  </w:style>
  <w:style w:type="paragraph" w:customStyle="1" w:styleId="F81198D5257145B597C393125BD227C5">
    <w:name w:val="F81198D5257145B597C393125BD227C5"/>
    <w:rsid w:val="00AD76A1"/>
  </w:style>
  <w:style w:type="paragraph" w:customStyle="1" w:styleId="DE069985DE65468EBF1353C21566D665">
    <w:name w:val="DE069985DE65468EBF1353C21566D665"/>
    <w:rsid w:val="00AD76A1"/>
  </w:style>
  <w:style w:type="paragraph" w:customStyle="1" w:styleId="848E71D0BAC74D779AE09C12F9135BF5">
    <w:name w:val="848E71D0BAC74D779AE09C12F9135BF5"/>
    <w:rsid w:val="00AD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0F49-795B-47AA-A63A-9F71997B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Characterization of Radionuclides in Analytical Equipment</vt:lpstr>
    </vt:vector>
  </TitlesOfParts>
  <Company>Microsoft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Radionuclides in Analytical Equipment</dc:title>
  <dc:subject/>
  <dc:creator>Radiation Safety</dc:creator>
  <cp:keywords/>
  <dc:description/>
  <cp:lastModifiedBy>mary@rso.utah.edu</cp:lastModifiedBy>
  <cp:revision>2</cp:revision>
  <cp:lastPrinted>2018-01-11T20:03:00Z</cp:lastPrinted>
  <dcterms:created xsi:type="dcterms:W3CDTF">2018-09-28T23:15:00Z</dcterms:created>
  <dcterms:modified xsi:type="dcterms:W3CDTF">2018-09-28T23:15:00Z</dcterms:modified>
</cp:coreProperties>
</file>